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eastAsia="华文中宋"/>
          <w:b/>
          <w:kern w:val="0"/>
          <w:sz w:val="52"/>
          <w:szCs w:val="52"/>
        </w:rPr>
      </w:pPr>
    </w:p>
    <w:p>
      <w:pPr>
        <w:spacing w:line="540" w:lineRule="exact"/>
        <w:jc w:val="both"/>
        <w:rPr>
          <w:rFonts w:eastAsia="华文中宋"/>
          <w:b/>
          <w:kern w:val="0"/>
          <w:sz w:val="52"/>
          <w:szCs w:val="52"/>
        </w:rPr>
      </w:pPr>
    </w:p>
    <w:p>
      <w:pPr>
        <w:spacing w:line="540" w:lineRule="exact"/>
        <w:jc w:val="center"/>
        <w:rPr>
          <w:rFonts w:eastAsia="华文中宋"/>
          <w:b/>
          <w:kern w:val="0"/>
          <w:sz w:val="52"/>
          <w:szCs w:val="52"/>
        </w:rPr>
      </w:pPr>
    </w:p>
    <w:p>
      <w:pPr>
        <w:spacing w:line="540" w:lineRule="exact"/>
        <w:jc w:val="center"/>
        <w:rPr>
          <w:rFonts w:eastAsia="方正小标宋_GBK"/>
          <w:kern w:val="0"/>
          <w:sz w:val="48"/>
          <w:szCs w:val="48"/>
        </w:rPr>
      </w:pPr>
      <w:r>
        <w:rPr>
          <w:rFonts w:hint="eastAsia" w:eastAsia="方正小标宋_GBK"/>
          <w:kern w:val="0"/>
          <w:sz w:val="48"/>
          <w:szCs w:val="48"/>
        </w:rPr>
        <w:t>新疆美术馆（自治区书法艺术发展中心）</w:t>
      </w:r>
      <w:r>
        <w:rPr>
          <w:rFonts w:eastAsia="方正小标宋_GBK"/>
          <w:kern w:val="0"/>
          <w:sz w:val="48"/>
          <w:szCs w:val="48"/>
        </w:rPr>
        <w:t>资金项目支出绩效评价</w:t>
      </w:r>
    </w:p>
    <w:p>
      <w:pPr>
        <w:spacing w:line="540" w:lineRule="exact"/>
        <w:jc w:val="center"/>
        <w:rPr>
          <w:rFonts w:eastAsia="方正小标宋_GBK"/>
          <w:kern w:val="0"/>
          <w:sz w:val="48"/>
          <w:szCs w:val="48"/>
        </w:rPr>
      </w:pPr>
      <w:r>
        <w:rPr>
          <w:rFonts w:eastAsia="方正小标宋_GBK"/>
          <w:kern w:val="0"/>
          <w:sz w:val="48"/>
          <w:szCs w:val="48"/>
        </w:rPr>
        <w:t>报告</w:t>
      </w:r>
    </w:p>
    <w:p>
      <w:pPr>
        <w:spacing w:line="540" w:lineRule="exact"/>
        <w:jc w:val="center"/>
        <w:rPr>
          <w:rFonts w:eastAsia="华文中宋"/>
          <w:b/>
          <w:kern w:val="0"/>
          <w:sz w:val="52"/>
          <w:szCs w:val="52"/>
        </w:rPr>
      </w:pPr>
    </w:p>
    <w:p>
      <w:pPr>
        <w:spacing w:line="540" w:lineRule="exact"/>
        <w:jc w:val="center"/>
        <w:rPr>
          <w:rFonts w:eastAsia="仿宋_GB2312"/>
          <w:kern w:val="0"/>
          <w:sz w:val="36"/>
          <w:szCs w:val="36"/>
        </w:rPr>
      </w:pPr>
      <w:r>
        <w:rPr>
          <w:rFonts w:eastAsia="仿宋_GB2312"/>
          <w:kern w:val="0"/>
          <w:sz w:val="36"/>
          <w:szCs w:val="36"/>
        </w:rPr>
        <w:t>（ 2022年度）</w:t>
      </w:r>
    </w:p>
    <w:p>
      <w:pPr>
        <w:spacing w:line="540" w:lineRule="exact"/>
        <w:jc w:val="center"/>
        <w:rPr>
          <w:rFonts w:eastAsia="仿宋_GB2312"/>
          <w:kern w:val="0"/>
          <w:sz w:val="30"/>
          <w:szCs w:val="30"/>
        </w:rPr>
      </w:pPr>
    </w:p>
    <w:p>
      <w:pPr>
        <w:spacing w:line="540" w:lineRule="exact"/>
        <w:jc w:val="center"/>
        <w:rPr>
          <w:rFonts w:eastAsia="仿宋_GB2312"/>
          <w:kern w:val="0"/>
          <w:sz w:val="30"/>
          <w:szCs w:val="30"/>
        </w:rPr>
      </w:pPr>
    </w:p>
    <w:p>
      <w:pPr>
        <w:spacing w:line="540" w:lineRule="exact"/>
        <w:jc w:val="center"/>
        <w:rPr>
          <w:rFonts w:eastAsia="仿宋_GB2312"/>
          <w:kern w:val="0"/>
          <w:sz w:val="30"/>
          <w:szCs w:val="30"/>
        </w:rPr>
      </w:pPr>
    </w:p>
    <w:p>
      <w:pPr>
        <w:pStyle w:val="2"/>
      </w:pPr>
    </w:p>
    <w:p>
      <w:pPr>
        <w:spacing w:line="540" w:lineRule="exact"/>
        <w:jc w:val="center"/>
        <w:rPr>
          <w:rFonts w:eastAsia="仿宋_GB2312"/>
          <w:kern w:val="0"/>
          <w:sz w:val="30"/>
          <w:szCs w:val="30"/>
        </w:rPr>
      </w:pPr>
    </w:p>
    <w:p>
      <w:pPr>
        <w:spacing w:line="540" w:lineRule="exact"/>
        <w:rPr>
          <w:rFonts w:eastAsia="仿宋_GB2312"/>
          <w:kern w:val="0"/>
          <w:sz w:val="30"/>
          <w:szCs w:val="30"/>
        </w:rPr>
      </w:pPr>
    </w:p>
    <w:p>
      <w:pPr>
        <w:spacing w:line="700" w:lineRule="exact"/>
        <w:jc w:val="left"/>
        <w:rPr>
          <w:rFonts w:ascii="仿宋_GB2312" w:hAnsi="仿宋_GB2312" w:eastAsia="仿宋_GB2312" w:cs="仿宋_GB2312"/>
          <w:kern w:val="0"/>
          <w:sz w:val="36"/>
          <w:szCs w:val="36"/>
        </w:rPr>
      </w:pPr>
      <w:r>
        <w:rPr>
          <w:rFonts w:eastAsia="仿宋_GB2312"/>
          <w:kern w:val="0"/>
          <w:sz w:val="36"/>
          <w:szCs w:val="36"/>
        </w:rPr>
        <w:t>项目名称：</w:t>
      </w:r>
      <w:r>
        <w:rPr>
          <w:rFonts w:hint="eastAsia" w:ascii="仿宋_GB2312" w:hAnsi="仿宋_GB2312" w:eastAsia="仿宋_GB2312" w:cs="仿宋_GB2312"/>
          <w:kern w:val="0"/>
          <w:sz w:val="36"/>
          <w:szCs w:val="36"/>
        </w:rPr>
        <w:t>免费开放运行保障经费</w:t>
      </w:r>
    </w:p>
    <w:p>
      <w:pPr>
        <w:spacing w:line="700" w:lineRule="exact"/>
        <w:jc w:val="left"/>
        <w:rPr>
          <w:rFonts w:ascii="仿宋_GB2312" w:hAnsi="仿宋_GB2312" w:eastAsia="仿宋_GB2312" w:cs="仿宋_GB2312"/>
          <w:kern w:val="0"/>
          <w:sz w:val="36"/>
          <w:szCs w:val="36"/>
        </w:rPr>
      </w:pPr>
      <w:r>
        <w:rPr>
          <w:rFonts w:eastAsia="仿宋_GB2312"/>
          <w:kern w:val="0"/>
          <w:sz w:val="36"/>
          <w:szCs w:val="36"/>
        </w:rPr>
        <w:t>实施单位（公章）：</w:t>
      </w:r>
      <w:r>
        <w:rPr>
          <w:rFonts w:hint="eastAsia" w:ascii="仿宋_GB2312" w:hAnsi="仿宋_GB2312" w:eastAsia="仿宋_GB2312" w:cs="仿宋_GB2312"/>
          <w:kern w:val="0"/>
          <w:sz w:val="36"/>
          <w:szCs w:val="36"/>
        </w:rPr>
        <w:t>新疆美术馆</w:t>
      </w:r>
      <w:r>
        <w:rPr>
          <w:rFonts w:hint="eastAsia" w:ascii="仿宋_GB2312" w:hAnsi="仿宋_GB2312" w:eastAsia="仿宋_GB2312" w:cs="仿宋_GB2312"/>
          <w:sz w:val="36"/>
          <w:szCs w:val="36"/>
        </w:rPr>
        <w:t>（自治区书法艺术发展中心）</w:t>
      </w:r>
    </w:p>
    <w:p>
      <w:pPr>
        <w:rPr>
          <w:rFonts w:ascii="仿宋_GB2312" w:hAnsi="仿宋_GB2312" w:eastAsia="仿宋_GB2312" w:cs="仿宋_GB2312"/>
          <w:sz w:val="36"/>
          <w:szCs w:val="36"/>
        </w:rPr>
      </w:pPr>
      <w:r>
        <w:rPr>
          <w:rFonts w:eastAsia="仿宋_GB2312"/>
          <w:kern w:val="0"/>
          <w:sz w:val="36"/>
          <w:szCs w:val="36"/>
        </w:rPr>
        <w:t>主管部门（公章）：</w:t>
      </w:r>
      <w:r>
        <w:rPr>
          <w:rFonts w:hint="eastAsia" w:ascii="仿宋_GB2312" w:hAnsi="仿宋_GB2312" w:eastAsia="仿宋_GB2312" w:cs="仿宋_GB2312"/>
          <w:sz w:val="36"/>
          <w:szCs w:val="36"/>
        </w:rPr>
        <w:t>新疆维吾尔自治区文化和旅游厅</w:t>
      </w:r>
    </w:p>
    <w:p>
      <w:pPr>
        <w:spacing w:line="700" w:lineRule="exact"/>
        <w:jc w:val="left"/>
        <w:rPr>
          <w:rFonts w:ascii="仿宋_GB2312" w:hAnsi="仿宋_GB2312" w:eastAsia="仿宋_GB2312" w:cs="仿宋_GB2312"/>
          <w:kern w:val="0"/>
          <w:sz w:val="36"/>
          <w:szCs w:val="36"/>
        </w:rPr>
      </w:pPr>
      <w:r>
        <w:rPr>
          <w:rFonts w:eastAsia="仿宋_GB2312"/>
          <w:kern w:val="0"/>
          <w:sz w:val="36"/>
          <w:szCs w:val="36"/>
        </w:rPr>
        <w:t>项目负责人（签章）：</w:t>
      </w:r>
      <w:r>
        <w:rPr>
          <w:rFonts w:hint="eastAsia" w:ascii="仿宋_GB2312" w:hAnsi="仿宋_GB2312" w:eastAsia="仿宋_GB2312" w:cs="仿宋_GB2312"/>
          <w:kern w:val="0"/>
          <w:sz w:val="36"/>
          <w:szCs w:val="36"/>
        </w:rPr>
        <w:t>张利军</w:t>
      </w:r>
    </w:p>
    <w:p>
      <w:pPr>
        <w:spacing w:line="700" w:lineRule="exact"/>
        <w:jc w:val="left"/>
        <w:rPr>
          <w:rFonts w:eastAsia="仿宋_GB2312"/>
          <w:kern w:val="0"/>
          <w:sz w:val="36"/>
          <w:szCs w:val="36"/>
        </w:rPr>
      </w:pPr>
      <w:r>
        <w:rPr>
          <w:rFonts w:eastAsia="仿宋_GB2312"/>
          <w:kern w:val="0"/>
          <w:sz w:val="36"/>
          <w:szCs w:val="36"/>
        </w:rPr>
        <w:t>填报时间：</w:t>
      </w:r>
      <w:r>
        <w:rPr>
          <w:rFonts w:hint="eastAsia" w:eastAsia="仿宋_GB2312"/>
          <w:kern w:val="0"/>
          <w:sz w:val="36"/>
          <w:szCs w:val="36"/>
          <w:lang w:val="en-US" w:eastAsia="zh-CN"/>
        </w:rPr>
        <w:t>2023</w:t>
      </w:r>
      <w:r>
        <w:rPr>
          <w:rFonts w:eastAsia="仿宋_GB2312"/>
          <w:kern w:val="0"/>
          <w:sz w:val="36"/>
          <w:szCs w:val="36"/>
        </w:rPr>
        <w:t>年</w:t>
      </w:r>
      <w:r>
        <w:rPr>
          <w:rFonts w:hint="eastAsia" w:eastAsia="仿宋_GB2312"/>
          <w:kern w:val="0"/>
          <w:sz w:val="36"/>
          <w:szCs w:val="36"/>
          <w:lang w:val="en-US" w:eastAsia="zh-CN"/>
        </w:rPr>
        <w:t>4</w:t>
      </w:r>
      <w:r>
        <w:rPr>
          <w:rFonts w:eastAsia="仿宋_GB2312"/>
          <w:kern w:val="0"/>
          <w:sz w:val="36"/>
          <w:szCs w:val="36"/>
        </w:rPr>
        <w:t>月</w:t>
      </w:r>
      <w:r>
        <w:rPr>
          <w:rFonts w:hint="eastAsia" w:eastAsia="仿宋_GB2312"/>
          <w:kern w:val="0"/>
          <w:sz w:val="36"/>
          <w:szCs w:val="36"/>
          <w:lang w:val="en-US" w:eastAsia="zh-CN"/>
        </w:rPr>
        <w:t>10</w:t>
      </w:r>
      <w:r>
        <w:rPr>
          <w:rFonts w:eastAsia="仿宋_GB2312"/>
          <w:kern w:val="0"/>
          <w:sz w:val="36"/>
          <w:szCs w:val="36"/>
        </w:rPr>
        <w:t>日</w:t>
      </w:r>
    </w:p>
    <w:p>
      <w:pPr>
        <w:spacing w:line="540" w:lineRule="exact"/>
        <w:jc w:val="center"/>
        <w:rPr>
          <w:rFonts w:eastAsia="仿宋_GB2312"/>
          <w:kern w:val="0"/>
          <w:sz w:val="30"/>
          <w:szCs w:val="30"/>
        </w:rPr>
      </w:pPr>
    </w:p>
    <w:p>
      <w:pPr>
        <w:spacing w:line="540" w:lineRule="exact"/>
        <w:rPr>
          <w:rStyle w:val="15"/>
          <w:rFonts w:eastAsia="黑体"/>
          <w:b w:val="0"/>
          <w:spacing w:val="-4"/>
          <w:sz w:val="32"/>
          <w:szCs w:val="32"/>
        </w:rPr>
      </w:pPr>
    </w:p>
    <w:p>
      <w:pPr>
        <w:spacing w:line="560" w:lineRule="exact"/>
        <w:rPr>
          <w:rFonts w:eastAsia="黑体"/>
          <w:bCs/>
          <w:sz w:val="32"/>
          <w:szCs w:val="32"/>
        </w:rPr>
        <w:sectPr>
          <w:footerReference r:id="rId3" w:type="default"/>
          <w:pgSz w:w="11906" w:h="16838"/>
          <w:pgMar w:top="1440" w:right="1558" w:bottom="1440" w:left="1800" w:header="851" w:footer="992" w:gutter="0"/>
          <w:cols w:space="425" w:num="1"/>
          <w:docGrid w:type="lines" w:linePitch="312" w:charSpace="0"/>
        </w:sectPr>
      </w:pPr>
    </w:p>
    <w:p>
      <w:pPr>
        <w:spacing w:line="560" w:lineRule="exact"/>
        <w:ind w:firstLine="640" w:firstLineChars="200"/>
        <w:rPr>
          <w:rFonts w:eastAsia="黑体"/>
          <w:bCs/>
          <w:sz w:val="32"/>
          <w:szCs w:val="32"/>
        </w:rPr>
      </w:pPr>
      <w:r>
        <w:rPr>
          <w:rFonts w:eastAsia="黑体"/>
          <w:bCs/>
          <w:sz w:val="32"/>
          <w:szCs w:val="32"/>
        </w:rPr>
        <w:t>一、基本情况</w:t>
      </w:r>
    </w:p>
    <w:p>
      <w:pPr>
        <w:spacing w:line="560" w:lineRule="exact"/>
        <w:ind w:firstLine="642" w:firstLineChars="200"/>
        <w:rPr>
          <w:rFonts w:eastAsia="楷体_GB2312"/>
          <w:b/>
          <w:bCs/>
          <w:sz w:val="32"/>
          <w:szCs w:val="32"/>
        </w:rPr>
      </w:pPr>
      <w:r>
        <w:rPr>
          <w:rFonts w:eastAsia="楷体_GB2312"/>
          <w:b/>
          <w:bCs/>
          <w:sz w:val="32"/>
          <w:szCs w:val="32"/>
        </w:rPr>
        <w:t>（一）项目概况</w:t>
      </w:r>
    </w:p>
    <w:p>
      <w:pPr>
        <w:spacing w:line="560" w:lineRule="exact"/>
        <w:ind w:firstLine="642"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1</w:t>
      </w:r>
      <w:r>
        <w:rPr>
          <w:rFonts w:hint="eastAsia" w:ascii="方正仿宋_GBK" w:hAnsi="方正仿宋_GBK" w:eastAsia="方正仿宋_GBK" w:cs="方正仿宋_GBK"/>
          <w:b/>
          <w:bCs/>
          <w:sz w:val="32"/>
          <w:szCs w:val="32"/>
          <w:lang w:val="en-US" w:eastAsia="zh-CN"/>
        </w:rPr>
        <w:t>.</w:t>
      </w:r>
      <w:r>
        <w:rPr>
          <w:rFonts w:hint="eastAsia" w:ascii="方正仿宋_GBK" w:hAnsi="方正仿宋_GBK" w:eastAsia="方正仿宋_GBK" w:cs="方正仿宋_GBK"/>
          <w:b/>
          <w:bCs/>
          <w:sz w:val="32"/>
          <w:szCs w:val="32"/>
        </w:rPr>
        <w:t>项目背景</w:t>
      </w:r>
    </w:p>
    <w:p>
      <w:pPr>
        <w:spacing w:line="540" w:lineRule="exact"/>
        <w:ind w:firstLine="579" w:firstLineChars="181"/>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中华人民共和国公共文化服务保障法》，中共中央办公厅、国务院办公厅《关于加快现代公共文化服务体系建设的意见》，《国家基本公共文化服务指导标准》(中办发[2015]2号)，自治区党委办公厅、自治区人民政府办公厅《自治区关于加快构建现代公共文化服务体系的实施意见》(新党办发[2016]50号)，财政部《陈列展览项目支出预算方案编制规范和预算编制标准试行办法》的通知(财办预[2017]56号)等文件精神申请下拨350万免费开放运行保障经费，为新疆美术馆公益性活动经费。</w:t>
      </w:r>
    </w:p>
    <w:p>
      <w:pPr>
        <w:pStyle w:val="2"/>
        <w:numPr>
          <w:numId w:val="0"/>
        </w:numPr>
        <w:spacing w:before="0" w:after="0" w:line="560" w:lineRule="exact"/>
        <w:ind w:firstLine="642" w:firstLineChars="200"/>
        <w:jc w:val="both"/>
        <w:rPr>
          <w:rFonts w:hint="eastAsia" w:ascii="方正仿宋_GBK" w:hAnsi="方正仿宋_GBK" w:eastAsia="方正仿宋_GBK" w:cs="方正仿宋_GBK"/>
          <w:kern w:val="2"/>
        </w:rPr>
      </w:pPr>
      <w:r>
        <w:rPr>
          <w:rFonts w:hint="eastAsia" w:ascii="方正仿宋_GBK" w:hAnsi="方正仿宋_GBK" w:eastAsia="方正仿宋_GBK" w:cs="方正仿宋_GBK"/>
          <w:kern w:val="2"/>
          <w:lang w:val="en-US" w:eastAsia="zh-CN"/>
        </w:rPr>
        <w:t>2.</w:t>
      </w:r>
      <w:r>
        <w:rPr>
          <w:rFonts w:hint="eastAsia" w:ascii="方正仿宋_GBK" w:hAnsi="方正仿宋_GBK" w:eastAsia="方正仿宋_GBK" w:cs="方正仿宋_GBK"/>
          <w:kern w:val="2"/>
        </w:rPr>
        <w:t>项目主要内容</w:t>
      </w:r>
    </w:p>
    <w:p>
      <w:pPr>
        <w:spacing w:line="540" w:lineRule="exact"/>
        <w:ind w:firstLine="579" w:firstLineChars="181"/>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项目主要内容：公教活动场次不少于10场次，举办展览不少于6场次，参观人次不少于15万人次，公众号信息发布不少于30篇，提供公共文化服务不低于200天。</w:t>
      </w:r>
    </w:p>
    <w:p>
      <w:pPr>
        <w:spacing w:line="540" w:lineRule="exact"/>
        <w:ind w:firstLine="579" w:firstLineChars="18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项目实施情况：</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022年，新疆美术馆共推出6个重要展览，各展厅共接待17万余人次参观，累计接待172家团体，开展13场公教活动（线下11场，线上2场），活动具体参加人数为881人，活动覆盖人数达438611人（包含线上线下在内），公众号信息发布</w:t>
      </w:r>
      <w:r>
        <w:rPr>
          <w:rFonts w:hint="eastAsia" w:ascii="仿宋_GB2312" w:hAnsi="仿宋_GB2312" w:eastAsia="仿宋_GB2312" w:cs="仿宋_GB2312"/>
          <w:color w:val="auto"/>
          <w:sz w:val="32"/>
          <w:szCs w:val="32"/>
          <w:lang w:val="en-US" w:eastAsia="zh-CN"/>
        </w:rPr>
        <w:t>64篇，提供公共文化服务209天，</w:t>
      </w:r>
      <w:r>
        <w:rPr>
          <w:rFonts w:hint="eastAsia" w:ascii="仿宋_GB2312" w:hAnsi="仿宋_GB2312" w:eastAsia="仿宋_GB2312" w:cs="仿宋_GB2312"/>
          <w:color w:val="auto"/>
          <w:sz w:val="32"/>
          <w:szCs w:val="32"/>
        </w:rPr>
        <w:t>丰富了新疆人民的艺术生活，提升了大众美育，公共文化服务效能明显提升，圆满完成计划工作，达到了预期效果。</w:t>
      </w:r>
    </w:p>
    <w:p>
      <w:pPr>
        <w:spacing w:line="560" w:lineRule="exact"/>
        <w:ind w:firstLine="642"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3.</w:t>
      </w:r>
      <w:r>
        <w:rPr>
          <w:rFonts w:hint="eastAsia" w:ascii="方正仿宋_GBK" w:hAnsi="方正仿宋_GBK" w:eastAsia="方正仿宋_GBK" w:cs="方正仿宋_GBK"/>
          <w:b/>
          <w:bCs/>
          <w:sz w:val="32"/>
          <w:szCs w:val="32"/>
        </w:rPr>
        <w:t>资金投入和使用情况</w:t>
      </w:r>
    </w:p>
    <w:p>
      <w:pPr>
        <w:shd w:val="clear"/>
        <w:spacing w:line="600" w:lineRule="exact"/>
        <w:ind w:firstLine="640" w:firstLineChars="200"/>
        <w:outlineLvl w:val="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（1）资金投入情况</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该项目年初预算数350万元，全年预算数350万元，实际总投入350万元，该项目资金已全部落实到位</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sz w:val="32"/>
          <w:szCs w:val="32"/>
          <w:highlight w:val="none"/>
          <w:lang w:val="en-US" w:eastAsia="zh-CN"/>
        </w:rPr>
        <w:t>资金来源为当年财政拨款。</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（2）资金使用情况</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该项目年初预算数350万元，全年预算数350万元，全年执行数350万元，预算执行率为100%</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sz w:val="32"/>
          <w:szCs w:val="32"/>
          <w:highlight w:val="none"/>
          <w:lang w:val="en-US" w:eastAsia="zh-CN"/>
        </w:rPr>
        <w:t>主要用于：支付项目实施进程中的各项费用。</w:t>
      </w:r>
    </w:p>
    <w:p>
      <w:pPr>
        <w:spacing w:line="560" w:lineRule="exact"/>
        <w:ind w:firstLine="642" w:firstLineChars="200"/>
        <w:rPr>
          <w:rFonts w:eastAsia="楷体_GB2312"/>
          <w:b/>
          <w:bCs/>
          <w:sz w:val="32"/>
          <w:szCs w:val="32"/>
        </w:rPr>
      </w:pPr>
      <w:r>
        <w:rPr>
          <w:rFonts w:eastAsia="楷体_GB2312"/>
          <w:b/>
          <w:bCs/>
          <w:sz w:val="32"/>
          <w:szCs w:val="32"/>
        </w:rPr>
        <w:t>（二）项目绩效目标</w:t>
      </w:r>
    </w:p>
    <w:p>
      <w:pPr>
        <w:spacing w:line="560" w:lineRule="exact"/>
        <w:ind w:firstLine="640" w:firstLineChars="200"/>
        <w:rPr>
          <w:rFonts w:eastAsia="仿宋_GB2312"/>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总</w:t>
      </w:r>
      <w:r>
        <w:rPr>
          <w:rFonts w:eastAsia="仿宋_GB2312"/>
          <w:sz w:val="32"/>
          <w:szCs w:val="32"/>
        </w:rPr>
        <w:t>体目标</w:t>
      </w:r>
    </w:p>
    <w:p>
      <w:pPr>
        <w:pStyle w:val="2"/>
        <w:rPr>
          <w:rFonts w:hint="eastAsia"/>
          <w:color w:val="auto"/>
          <w:lang w:eastAsia="zh-CN"/>
        </w:rPr>
      </w:pPr>
      <w:r>
        <w:rPr>
          <w:rFonts w:hint="eastAsia" w:ascii="仿宋_GB2312" w:hAnsi="仿宋_GB2312" w:eastAsia="仿宋_GB2312" w:cs="仿宋_GB2312"/>
          <w:b w:val="0"/>
          <w:bCs w:val="0"/>
          <w:kern w:val="2"/>
          <w:sz w:val="32"/>
          <w:szCs w:val="32"/>
          <w:highlight w:val="none"/>
          <w:lang w:val="en-US" w:eastAsia="zh-CN" w:bidi="ar-SA"/>
        </w:rPr>
        <w:t xml:space="preserve">   </w:t>
      </w:r>
      <w:r>
        <w:rPr>
          <w:rFonts w:hint="eastAsia" w:ascii="仿宋_GB2312" w:hAnsi="仿宋_GB2312" w:eastAsia="仿宋_GB2312" w:cs="仿宋_GB2312"/>
          <w:b w:val="0"/>
          <w:bCs w:val="0"/>
          <w:color w:val="0000FF"/>
          <w:kern w:val="2"/>
          <w:sz w:val="32"/>
          <w:szCs w:val="32"/>
          <w:highlight w:val="none"/>
          <w:lang w:val="en-US" w:eastAsia="zh-CN" w:bidi="ar-SA"/>
        </w:rPr>
        <w:t xml:space="preserve"> </w:t>
      </w:r>
      <w:r>
        <w:rPr>
          <w:rFonts w:hint="eastAsia" w:ascii="仿宋_GB2312" w:hAnsi="仿宋_GB2312" w:eastAsia="仿宋_GB2312" w:cs="仿宋_GB2312"/>
          <w:b w:val="0"/>
          <w:bCs w:val="0"/>
          <w:color w:val="auto"/>
          <w:kern w:val="2"/>
          <w:sz w:val="32"/>
          <w:szCs w:val="32"/>
          <w:highlight w:val="none"/>
          <w:lang w:val="en-US" w:eastAsia="zh-CN" w:bidi="ar-SA"/>
        </w:rPr>
        <w:t>按照新疆美术馆整体发展战略，开展藏品征集工作，在展示新中国成立以来新疆美术事业发展面貌的同时，以推动中国现当代艺术的国际化发展为主要目标，建构中国现当代美术史的新疆艺术作品收藏体系，完善新疆的艺术研究机制建立中国连接亚欧艺术的学术中心，进一步推动新疆美术事业的发展。</w:t>
      </w:r>
    </w:p>
    <w:p>
      <w:pPr>
        <w:spacing w:line="560" w:lineRule="exact"/>
        <w:ind w:firstLine="640" w:firstLineChars="200"/>
        <w:rPr>
          <w:rFonts w:hint="eastAsia" w:ascii="黑体" w:hAnsi="黑体" w:eastAsia="黑体" w:cs="黑体"/>
          <w:color w:val="000000"/>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阶</w:t>
      </w:r>
      <w:r>
        <w:rPr>
          <w:rFonts w:eastAsia="仿宋_GB2312"/>
          <w:sz w:val="32"/>
          <w:szCs w:val="32"/>
        </w:rPr>
        <w:t>段性目标</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（一）围绕中心 服务大局 组织策划系列展览</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2022年组织策划展览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场，接待参观者17万余人次。官方公众号发布各类信息共计5</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篇</w:t>
      </w:r>
      <w:r>
        <w:rPr>
          <w:rFonts w:hint="eastAsia" w:ascii="仿宋_GB2312" w:hAnsi="仿宋_GB2312" w:eastAsia="仿宋_GB2312" w:cs="仿宋_GB2312"/>
          <w:sz w:val="32"/>
          <w:szCs w:val="32"/>
          <w:lang w:eastAsia="zh-CN"/>
        </w:rPr>
        <w:t>（含线上展览）</w:t>
      </w:r>
      <w:r>
        <w:rPr>
          <w:rFonts w:hint="eastAsia" w:ascii="仿宋_GB2312" w:hAnsi="仿宋_GB2312" w:eastAsia="仿宋_GB2312" w:cs="仿宋_GB2312"/>
          <w:sz w:val="32"/>
          <w:szCs w:val="32"/>
        </w:rPr>
        <w:t>，粉丝量达21万余人，总浏览量为60万余人次。</w:t>
      </w:r>
      <w:r>
        <w:rPr>
          <w:rFonts w:hint="eastAsia" w:ascii="仿宋_GB2312" w:hAnsi="仿宋_GB2312" w:eastAsia="仿宋_GB2312" w:cs="仿宋_GB2312"/>
          <w:b/>
          <w:bCs/>
          <w:sz w:val="32"/>
          <w:szCs w:val="32"/>
        </w:rPr>
        <w:t>一是组织精品展。</w:t>
      </w:r>
      <w:r>
        <w:rPr>
          <w:rFonts w:hint="eastAsia" w:ascii="仿宋_GB2312" w:hAnsi="仿宋_GB2312" w:eastAsia="仿宋_GB2312" w:cs="仿宋_GB2312"/>
          <w:sz w:val="32"/>
          <w:szCs w:val="32"/>
          <w:lang w:eastAsia="zh-CN"/>
        </w:rPr>
        <w:t>举办</w:t>
      </w:r>
      <w:r>
        <w:rPr>
          <w:rFonts w:hint="eastAsia" w:ascii="仿宋_GB2312" w:hAnsi="仿宋_GB2312" w:eastAsia="仿宋_GB2312" w:cs="仿宋_GB2312"/>
          <w:sz w:val="32"/>
          <w:szCs w:val="32"/>
        </w:rPr>
        <w:t>“疆风海韵——中华艺术宫（上海美术馆）馆藏金祥龙作品展”，“丹青之美——上海中国画院作品展”等精品展览，进一步提升了展览的艺术水准和观众的欣赏水平。</w:t>
      </w:r>
      <w:r>
        <w:rPr>
          <w:rFonts w:hint="eastAsia" w:ascii="仿宋_GB2312" w:hAnsi="仿宋_GB2312" w:eastAsia="仿宋_GB2312" w:cs="仿宋_GB2312"/>
          <w:b/>
          <w:bCs/>
          <w:sz w:val="32"/>
          <w:szCs w:val="32"/>
        </w:rPr>
        <w:t>二是举办主题展，主题思想凝心铸魂。</w:t>
      </w:r>
      <w:r>
        <w:rPr>
          <w:rFonts w:hint="eastAsia" w:ascii="仿宋_GB2312" w:hAnsi="仿宋_GB2312" w:eastAsia="仿宋_GB2312" w:cs="仿宋_GB2312"/>
          <w:sz w:val="32"/>
          <w:szCs w:val="32"/>
        </w:rPr>
        <w:t>庆祝党的二十大胜利召开，采用线上展览的方式，举办“以人民为中心——新疆美术馆馆藏作品展”“乡村振兴——艺术在场”，用美术的视角展示大美新疆和可爱的人民，展示新疆乡村文化振兴的丰硕成果。</w:t>
      </w:r>
      <w:r>
        <w:rPr>
          <w:rFonts w:hint="eastAsia" w:ascii="仿宋_GB2312" w:hAnsi="仿宋_GB2312" w:eastAsia="仿宋_GB2312" w:cs="仿宋_GB2312"/>
          <w:b/>
          <w:bCs/>
          <w:sz w:val="32"/>
          <w:szCs w:val="32"/>
        </w:rPr>
        <w:t>三是自主策划展，社会影响力不断扩大。</w:t>
      </w:r>
      <w:r>
        <w:rPr>
          <w:rFonts w:hint="eastAsia" w:ascii="仿宋_GB2312" w:hAnsi="仿宋_GB2312" w:eastAsia="仿宋_GB2312" w:cs="仿宋_GB2312"/>
          <w:sz w:val="32"/>
          <w:szCs w:val="32"/>
        </w:rPr>
        <w:t>自主策划组织多项专题作品展，得到社会各界的喜爱。其中“百年印记——新疆版画、雕塑作品展”入选2022年全国美术馆馆藏精品展出季活动目录，“乡村振兴·艺术在场”入选2022年全国美术馆青年策展人扶持计划，《黄胄美术作品文献展》和《新疆现当代美术史文献陈列展》获得2022年度党委宣传部艺术扶持项目。</w:t>
      </w:r>
      <w:r>
        <w:rPr>
          <w:rFonts w:hint="eastAsia" w:ascii="仿宋_GB2312" w:hAnsi="仿宋_GB2312" w:eastAsia="仿宋_GB2312" w:cs="仿宋_GB2312"/>
          <w:b/>
          <w:bCs/>
          <w:sz w:val="32"/>
          <w:szCs w:val="32"/>
        </w:rPr>
        <w:t>四是运用好平台，加强合作与交流。</w:t>
      </w:r>
      <w:r>
        <w:rPr>
          <w:rFonts w:hint="eastAsia" w:ascii="仿宋_GB2312" w:hAnsi="仿宋_GB2312" w:eastAsia="仿宋_GB2312" w:cs="仿宋_GB2312"/>
          <w:sz w:val="32"/>
          <w:szCs w:val="32"/>
        </w:rPr>
        <w:t>新疆美术馆承担第七届中国——亚欧博览会“中外文化展示周”主展任务，通过“线上+线下”方式推出“走进西部”赖少其艺术馆精品展，凹·凸——“一带一路”国际青年版画交流展。同时，积极与合肥赖少其艺术馆、青岛美术馆洽谈交流，与青岛美术馆签订战略合作框架协议。</w:t>
      </w:r>
      <w:r>
        <w:rPr>
          <w:rFonts w:hint="eastAsia" w:ascii="仿宋_GB2312" w:hAnsi="仿宋_GB2312" w:eastAsia="仿宋_GB2312" w:cs="仿宋_GB2312"/>
          <w:b/>
          <w:bCs/>
          <w:sz w:val="32"/>
          <w:szCs w:val="32"/>
        </w:rPr>
        <w:t>五是开展送展览到基层，文化润疆向基层延伸。</w:t>
      </w:r>
      <w:r>
        <w:rPr>
          <w:rFonts w:hint="eastAsia" w:ascii="仿宋_GB2312" w:hAnsi="仿宋_GB2312" w:eastAsia="仿宋_GB2312" w:cs="仿宋_GB2312"/>
          <w:sz w:val="32"/>
          <w:szCs w:val="32"/>
        </w:rPr>
        <w:t>美术馆先后到昌吉州、巴州等地区举办《百年印记——新疆版画、雕塑作品展》巡展活动，切实将文化润疆、文化惠民落到实处。</w:t>
      </w:r>
      <w:r>
        <w:rPr>
          <w:rFonts w:hint="eastAsia" w:ascii="仿宋_GB2312" w:hAnsi="仿宋_GB2312" w:eastAsia="仿宋_GB2312" w:cs="仿宋_GB2312"/>
          <w:b/>
          <w:bCs/>
          <w:sz w:val="32"/>
          <w:szCs w:val="32"/>
        </w:rPr>
        <w:t>六是做好其他展览，丰富美术服务。</w:t>
      </w:r>
      <w:r>
        <w:rPr>
          <w:rFonts w:hint="eastAsia" w:ascii="仿宋_GB2312" w:hAnsi="仿宋_GB2312" w:eastAsia="仿宋_GB2312" w:cs="仿宋_GB2312"/>
          <w:sz w:val="32"/>
          <w:szCs w:val="32"/>
        </w:rPr>
        <w:t>2022年美术馆新疆美术馆加大协调，拓宽渠道，丰富展览。获得国家艺术基金支持，举办“赋彩润疆”中国艺术新视界—国家艺术基金成果运用青年艺术创作人才、艺术人才培训美术类成果运用作品巡展（新疆站），与浙江美术馆协调，举办“江南春——陆抑非花鸟画创作与教学作品巡展（新疆站）”。对口援疆19省市非物质文化遗产展，期间入馆人数达4万人次，日参观量最高超1万人次，满足了各族群众精神文化需求。</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（二）举办公共教育活动，推广大众美育普及</w:t>
      </w:r>
    </w:p>
    <w:p>
      <w:pPr>
        <w:pStyle w:val="23"/>
        <w:widowControl/>
        <w:spacing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举办一系列形式好、内容新、群众爱、参与广的公共教育活动19场。</w:t>
      </w:r>
      <w:r>
        <w:rPr>
          <w:rFonts w:hint="eastAsia" w:ascii="仿宋_GB2312" w:hAnsi="仿宋_GB2312" w:eastAsia="仿宋_GB2312" w:cs="仿宋_GB2312"/>
          <w:b/>
          <w:bCs/>
          <w:color w:val="000000"/>
          <w:sz w:val="32"/>
          <w:szCs w:val="32"/>
        </w:rPr>
        <w:t>一是节日活动形式多样</w:t>
      </w:r>
      <w:r>
        <w:rPr>
          <w:rFonts w:hint="eastAsia" w:ascii="仿宋_GB2312" w:hAnsi="仿宋_GB2312" w:eastAsia="仿宋_GB2312" w:cs="仿宋_GB2312"/>
          <w:color w:val="000000"/>
          <w:sz w:val="32"/>
          <w:szCs w:val="32"/>
        </w:rPr>
        <w:t>。举办“新春纳福——百福千祥送万家”书法名家现场送春联、“清明寄思”版画制作体验、“画出别样红”为女警现场画像等内容丰富、形式多样的活动。</w:t>
      </w:r>
      <w:r>
        <w:rPr>
          <w:rFonts w:hint="eastAsia" w:ascii="仿宋_GB2312" w:hAnsi="仿宋_GB2312" w:eastAsia="仿宋_GB2312" w:cs="仿宋_GB2312"/>
          <w:b/>
          <w:bCs/>
          <w:color w:val="000000"/>
          <w:sz w:val="32"/>
          <w:szCs w:val="32"/>
        </w:rPr>
        <w:t>二是品牌活动初见成效。</w:t>
      </w:r>
      <w:r>
        <w:rPr>
          <w:rFonts w:hint="eastAsia" w:ascii="仿宋_GB2312" w:hAnsi="仿宋_GB2312" w:eastAsia="仿宋_GB2312" w:cs="仿宋_GB2312"/>
          <w:color w:val="auto"/>
          <w:sz w:val="32"/>
          <w:szCs w:val="32"/>
        </w:rPr>
        <w:t>以二十四节气为主线，打造“艺时一节”品牌活动，先后举办主题活动6场，通过让传统文化“活”起来的形式，弘扬中华优秀传统文化，讲好中国故事。</w:t>
      </w:r>
      <w:r>
        <w:rPr>
          <w:rFonts w:hint="eastAsia" w:ascii="仿宋_GB2312" w:hAnsi="仿宋_GB2312" w:eastAsia="仿宋_GB2312" w:cs="仿宋_GB2312"/>
          <w:color w:val="auto"/>
          <w:sz w:val="32"/>
          <w:szCs w:val="32"/>
          <w:lang w:val="en-US" w:eastAsia="zh-CN"/>
        </w:rPr>
        <w:t>配合“情系新疆——全山石、杨鸣山油画精品展”开幕式及黄胄画作《庆丰收》入藏仪式，开展现场音乐汇活动，打造沉浸式美学盛宴，以“以动释静”的形式丰富美术展览、美术作品的表达。紧扣“童话新年”展览主题，组织“万象盒子”活动，使观众零距离感受到卡通艺术的魅力。</w:t>
      </w:r>
      <w:r>
        <w:rPr>
          <w:rFonts w:hint="eastAsia" w:ascii="仿宋_GB2312" w:hAnsi="仿宋_GB2312" w:eastAsia="仿宋_GB2312" w:cs="仿宋_GB2312"/>
          <w:b/>
          <w:bCs/>
          <w:color w:val="000000"/>
          <w:sz w:val="32"/>
          <w:szCs w:val="32"/>
        </w:rPr>
        <w:t>三是线上活动新颖活跃。</w:t>
      </w:r>
      <w:r>
        <w:rPr>
          <w:rFonts w:hint="eastAsia" w:ascii="仿宋_GB2312" w:hAnsi="仿宋_GB2312" w:eastAsia="仿宋_GB2312" w:cs="仿宋_GB2312"/>
          <w:color w:val="000000"/>
          <w:sz w:val="32"/>
          <w:szCs w:val="32"/>
        </w:rPr>
        <w:t>运用微信公众号积极开展“新疆美术馆开馆一周年‘我和新疆美术馆同日生’线上招募活动”和“视频、美术摄影作品征集活动”“线上玩转名画Cosplay”“岁月有痕，父爱无痕——经典名画中的‘爸’气超人赏析”等线上公教活动，短短几日征集作品上百幅。</w:t>
      </w:r>
      <w:r>
        <w:rPr>
          <w:rFonts w:hint="eastAsia" w:ascii="仿宋_GB2312" w:hAnsi="仿宋_GB2312" w:eastAsia="仿宋_GB2312" w:cs="仿宋_GB2312"/>
          <w:b/>
          <w:bCs/>
          <w:color w:val="000000"/>
          <w:sz w:val="32"/>
          <w:szCs w:val="32"/>
        </w:rPr>
        <w:t>四是导览服务持续提升</w:t>
      </w:r>
      <w:r>
        <w:rPr>
          <w:rFonts w:hint="eastAsia" w:ascii="仿宋_GB2312" w:hAnsi="仿宋_GB2312" w:eastAsia="仿宋_GB2312" w:cs="仿宋_GB2312"/>
          <w:color w:val="000000"/>
          <w:sz w:val="32"/>
          <w:szCs w:val="32"/>
        </w:rPr>
        <w:t>。自开馆以来，为重要领导及嘉宾、各行政企事业单位来馆参观提供导览服务，2022年，接待自治区党代表660余人参观美术馆，组织有力，协调得当，得到党委组织部领导的肯定。</w:t>
      </w:r>
      <w:r>
        <w:rPr>
          <w:rFonts w:hint="eastAsia" w:ascii="仿宋_GB2312" w:hAnsi="仿宋_GB2312" w:eastAsia="仿宋_GB2312" w:cs="仿宋_GB2312"/>
          <w:b/>
          <w:bCs/>
          <w:color w:val="000000"/>
          <w:sz w:val="32"/>
          <w:szCs w:val="32"/>
        </w:rPr>
        <w:t>五是宣传推广再辟新径。</w:t>
      </w:r>
      <w:r>
        <w:rPr>
          <w:rFonts w:hint="eastAsia" w:ascii="仿宋_GB2312" w:hAnsi="仿宋_GB2312" w:eastAsia="仿宋_GB2312" w:cs="仿宋_GB2312"/>
          <w:sz w:val="32"/>
          <w:szCs w:val="32"/>
        </w:rPr>
        <w:t>9月30日注册抖音账号，发送展览布展、线上展览、展览背后的故事等相关视频9个，短短一个月时间，浏览量达39438人次，宣传力度增强，观众覆盖面扩大。</w:t>
      </w:r>
    </w:p>
    <w:p>
      <w:pPr>
        <w:spacing w:line="560" w:lineRule="exact"/>
        <w:ind w:firstLine="640" w:firstLineChars="200"/>
        <w:rPr>
          <w:rFonts w:eastAsia="黑体"/>
          <w:sz w:val="32"/>
          <w:szCs w:val="32"/>
        </w:rPr>
      </w:pPr>
      <w:r>
        <w:rPr>
          <w:rFonts w:eastAsia="黑体"/>
          <w:sz w:val="32"/>
          <w:szCs w:val="32"/>
        </w:rPr>
        <w:t>二、绩效评价工作开展情况</w:t>
      </w:r>
    </w:p>
    <w:p>
      <w:pPr>
        <w:spacing w:line="560" w:lineRule="exact"/>
        <w:ind w:firstLine="642" w:firstLineChars="200"/>
        <w:rPr>
          <w:rFonts w:eastAsia="楷体_GB2312"/>
          <w:b/>
          <w:bCs/>
          <w:sz w:val="32"/>
          <w:szCs w:val="32"/>
        </w:rPr>
      </w:pPr>
      <w:r>
        <w:rPr>
          <w:rFonts w:eastAsia="楷体_GB2312"/>
          <w:b/>
          <w:bCs/>
          <w:sz w:val="32"/>
          <w:szCs w:val="32"/>
        </w:rPr>
        <w:t>（一）绩效评价目的、对象和范围</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hint="eastAsia" w:ascii="方正仿宋_GBK" w:hAnsi="方正仿宋_GBK" w:eastAsia="方正仿宋_GBK" w:cs="方正仿宋_GBK"/>
          <w:b w:val="0"/>
          <w:bCs w:val="0"/>
        </w:rPr>
        <w:t>1</w:t>
      </w:r>
      <w:r>
        <w:rPr>
          <w:rFonts w:hint="eastAsia" w:ascii="方正仿宋_GBK" w:hAnsi="方正仿宋_GBK" w:eastAsia="方正仿宋_GBK" w:cs="方正仿宋_GBK"/>
          <w:b w:val="0"/>
          <w:bCs w:val="0"/>
          <w:lang w:val="en-US" w:eastAsia="zh-CN"/>
        </w:rPr>
        <w:t>.</w:t>
      </w:r>
      <w:r>
        <w:rPr>
          <w:rFonts w:hint="eastAsia" w:ascii="方正仿宋_GBK" w:hAnsi="方正仿宋_GBK" w:eastAsia="方正仿宋_GBK" w:cs="方正仿宋_GBK"/>
          <w:b w:val="0"/>
          <w:bCs w:val="0"/>
        </w:rPr>
        <w:t>绩</w:t>
      </w:r>
      <w:r>
        <w:rPr>
          <w:rFonts w:ascii="Times New Roman" w:hAnsi="Times New Roman" w:eastAsia="仿宋_GB2312"/>
          <w:b w:val="0"/>
          <w:bCs w:val="0"/>
        </w:rPr>
        <w:t>效评价的目的</w:t>
      </w:r>
    </w:p>
    <w:p>
      <w:pPr>
        <w:spacing w:line="560" w:lineRule="exact"/>
        <w:ind w:firstLine="640" w:firstLineChars="200"/>
        <w:rPr>
          <w:rFonts w:eastAsia="仿宋_GB2312"/>
          <w:sz w:val="32"/>
          <w:szCs w:val="32"/>
        </w:rPr>
      </w:pPr>
      <w:r>
        <w:rPr>
          <w:rFonts w:eastAsia="仿宋_GB2312"/>
          <w:sz w:val="32"/>
          <w:szCs w:val="32"/>
        </w:rPr>
        <w:t>财政支出绩效评价运用科学、规范的绩效评价方法，制定统一的评价标准，使财政资金得到事前、事中和事后多方面的控制。财政支出绩效评价贯穿于财政支出安排和实施的全过程，是对财政支出效益、管理水平、投入风险等方面的综合评价；是发挥财政调控功能、提高财政资金安排科学性、促进财政支持社会经济目标实现的重要保证。</w:t>
      </w:r>
    </w:p>
    <w:p>
      <w:pPr>
        <w:numPr>
          <w:numId w:val="0"/>
        </w:numPr>
        <w:spacing w:line="560" w:lineRule="exact"/>
        <w:ind w:firstLine="640" w:firstLineChars="200"/>
        <w:rPr>
          <w:rFonts w:eastAsia="仿宋_GB2312"/>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eastAsia="zh-CN"/>
        </w:rPr>
        <w:t>）</w:t>
      </w:r>
      <w:r>
        <w:rPr>
          <w:rFonts w:eastAsia="仿宋_GB2312"/>
          <w:sz w:val="32"/>
          <w:szCs w:val="32"/>
        </w:rPr>
        <w:t>项目在实施前向项目负责人提供财政支出绩效方面的资金管理信息，促进项目支出严格按照资金管理规定进行。</w:t>
      </w:r>
    </w:p>
    <w:p>
      <w:pPr>
        <w:spacing w:line="560" w:lineRule="exact"/>
        <w:ind w:firstLine="640" w:firstLineChars="200"/>
        <w:rPr>
          <w:rFonts w:eastAsia="仿宋_GB2312"/>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t>）</w:t>
      </w:r>
      <w:r>
        <w:rPr>
          <w:rFonts w:eastAsia="仿宋_GB2312"/>
          <w:sz w:val="32"/>
          <w:szCs w:val="32"/>
        </w:rPr>
        <w:t>项目绩效管理财政支出运行提供及时、有效的信息。</w:t>
      </w:r>
    </w:p>
    <w:p>
      <w:pPr>
        <w:pStyle w:val="18"/>
        <w:spacing w:line="560" w:lineRule="exact"/>
        <w:ind w:firstLine="640" w:firstLineChars="200"/>
        <w:rPr>
          <w:rFonts w:eastAsia="方正仿宋_GBK" w:cs="方正仿宋_GBK"/>
          <w:sz w:val="32"/>
          <w:szCs w:val="32"/>
        </w:rPr>
      </w:pPr>
      <w:r>
        <w:rPr>
          <w:rFonts w:eastAsia="仿宋_GB2312"/>
          <w:sz w:val="32"/>
          <w:szCs w:val="32"/>
        </w:rPr>
        <w:t>综合来看，通过开展有效的财政支出绩效评价管理，</w:t>
      </w:r>
      <w:r>
        <w:rPr>
          <w:rFonts w:hint="eastAsia" w:eastAsia="仿宋_GB2312"/>
          <w:sz w:val="32"/>
          <w:szCs w:val="32"/>
        </w:rPr>
        <w:t>全面了解该项目预算编制合理性、资金使用合规性、项目管理的规范性、项目目标的实现情况、服务对象的满意度等，通过本次项目绩效评价来总结经验和教训，促进项目成果转化和应用，为今后类似项目的长效管理，提供可行性参考建议。也为下一年预算编制与评审提供充分有效的依据，以达到改进预算管理、控制节约成本，优化资源配置、提高预算资金使用效益的目的。</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hint="eastAsia" w:ascii="方正仿宋_GBK" w:hAnsi="方正仿宋_GBK" w:eastAsia="方正仿宋_GBK" w:cs="方正仿宋_GBK"/>
          <w:b w:val="0"/>
          <w:bCs w:val="0"/>
        </w:rPr>
        <w:t>2</w:t>
      </w:r>
      <w:r>
        <w:rPr>
          <w:rFonts w:hint="eastAsia" w:ascii="方正仿宋_GBK" w:hAnsi="方正仿宋_GBK" w:eastAsia="方正仿宋_GBK" w:cs="方正仿宋_GBK"/>
          <w:b w:val="0"/>
          <w:bCs w:val="0"/>
          <w:lang w:val="en-US" w:eastAsia="zh-CN"/>
        </w:rPr>
        <w:t>.</w:t>
      </w:r>
      <w:r>
        <w:rPr>
          <w:rFonts w:hint="eastAsia" w:ascii="方正仿宋_GBK" w:hAnsi="方正仿宋_GBK" w:eastAsia="方正仿宋_GBK" w:cs="方正仿宋_GBK"/>
          <w:b w:val="0"/>
          <w:bCs w:val="0"/>
        </w:rPr>
        <w:t>绩</w:t>
      </w:r>
      <w:r>
        <w:rPr>
          <w:rFonts w:ascii="Times New Roman" w:hAnsi="Times New Roman" w:eastAsia="仿宋_GB2312"/>
          <w:b w:val="0"/>
          <w:bCs w:val="0"/>
        </w:rPr>
        <w:t>效评价的对象</w:t>
      </w:r>
    </w:p>
    <w:p>
      <w:pPr>
        <w:spacing w:line="700" w:lineRule="exact"/>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免费开放运行保障经费</w:t>
      </w:r>
      <w:r>
        <w:rPr>
          <w:rFonts w:hint="eastAsia" w:ascii="仿宋_GB2312" w:hAnsi="仿宋_GB2312" w:eastAsia="仿宋_GB2312" w:cs="仿宋_GB2312"/>
          <w:sz w:val="32"/>
          <w:szCs w:val="32"/>
        </w:rPr>
        <w:t>项目所包含的全部项目内容。</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hint="eastAsia" w:ascii="方正仿宋_GBK" w:hAnsi="方正仿宋_GBK" w:eastAsia="方正仿宋_GBK" w:cs="方正仿宋_GBK"/>
          <w:b w:val="0"/>
          <w:bCs w:val="0"/>
        </w:rPr>
        <w:t>3</w:t>
      </w:r>
      <w:r>
        <w:rPr>
          <w:rFonts w:hint="eastAsia" w:ascii="方正仿宋_GBK" w:hAnsi="方正仿宋_GBK" w:eastAsia="方正仿宋_GBK" w:cs="方正仿宋_GBK"/>
          <w:b w:val="0"/>
          <w:bCs w:val="0"/>
          <w:lang w:val="en-US" w:eastAsia="zh-CN"/>
        </w:rPr>
        <w:t>.</w:t>
      </w:r>
      <w:r>
        <w:rPr>
          <w:rFonts w:ascii="Times New Roman" w:hAnsi="Times New Roman" w:eastAsia="仿宋_GB2312"/>
          <w:b w:val="0"/>
          <w:bCs w:val="0"/>
        </w:rPr>
        <w:t>绩效评价的范围</w:t>
      </w:r>
    </w:p>
    <w:p>
      <w:pPr>
        <w:spacing w:line="560" w:lineRule="exact"/>
        <w:ind w:firstLine="640" w:firstLineChars="200"/>
        <w:rPr>
          <w:rFonts w:ascii="仿宋_GB2312" w:hAnsi="仿宋_GB2312" w:eastAsia="仿宋_GB2312" w:cs="仿宋_GB2312"/>
          <w:color w:val="0000FF"/>
          <w:sz w:val="32"/>
          <w:szCs w:val="32"/>
        </w:rPr>
      </w:pPr>
      <w:r>
        <w:rPr>
          <w:rFonts w:hint="eastAsia" w:ascii="仿宋_GB2312" w:hAnsi="仿宋_GB2312" w:eastAsia="仿宋_GB2312" w:cs="仿宋_GB2312"/>
          <w:sz w:val="32"/>
          <w:szCs w:val="32"/>
        </w:rPr>
        <w:t>本次评价从项目决策（包括绩效目标、决策过程）、项目管理（包括项目资金、项目实施）、项目产出（包括项目产出数量、产出质量、产出时效和产出成本）项目效益四个维度对</w:t>
      </w:r>
      <w:r>
        <w:rPr>
          <w:rFonts w:hint="eastAsia" w:ascii="仿宋_GB2312" w:hAnsi="仿宋_GB2312" w:eastAsia="仿宋_GB2312" w:cs="仿宋_GB2312"/>
          <w:color w:val="auto"/>
          <w:kern w:val="0"/>
          <w:sz w:val="32"/>
          <w:szCs w:val="32"/>
          <w:highlight w:val="none"/>
        </w:rPr>
        <w:t>免费开放运行保障经费</w:t>
      </w:r>
      <w:r>
        <w:rPr>
          <w:rFonts w:hint="eastAsia" w:ascii="仿宋_GB2312" w:hAnsi="仿宋_GB2312" w:eastAsia="仿宋_GB2312" w:cs="仿宋_GB2312"/>
          <w:color w:val="auto"/>
          <w:sz w:val="32"/>
          <w:szCs w:val="32"/>
          <w:highlight w:val="none"/>
        </w:rPr>
        <w:t>项目进行评价，评价核心为专项资金的支出完成情况和效果</w:t>
      </w:r>
      <w:r>
        <w:rPr>
          <w:rFonts w:hint="eastAsia" w:ascii="仿宋_GB2312" w:hAnsi="仿宋_GB2312" w:eastAsia="仿宋_GB2312" w:cs="仿宋_GB2312"/>
          <w:color w:val="0000FF"/>
          <w:sz w:val="32"/>
          <w:szCs w:val="32"/>
        </w:rPr>
        <w:t>。</w:t>
      </w:r>
    </w:p>
    <w:p>
      <w:pPr>
        <w:spacing w:line="560" w:lineRule="exact"/>
        <w:ind w:firstLine="642" w:firstLineChars="200"/>
      </w:pPr>
      <w:r>
        <w:rPr>
          <w:rFonts w:eastAsia="楷体_GB2312"/>
          <w:b/>
          <w:bCs/>
          <w:sz w:val="32"/>
          <w:szCs w:val="32"/>
        </w:rPr>
        <w:t>（二）绩效评价原则、评价指标体系（详情见表1）、评价方法、评价标准。</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hint="eastAsia" w:ascii="方正仿宋_GBK" w:hAnsi="方正仿宋_GBK" w:eastAsia="方正仿宋_GBK" w:cs="方正仿宋_GBK"/>
          <w:b w:val="0"/>
          <w:bCs w:val="0"/>
        </w:rPr>
        <w:t>1</w:t>
      </w:r>
      <w:r>
        <w:rPr>
          <w:rFonts w:hint="eastAsia" w:ascii="方正仿宋_GBK" w:hAnsi="方正仿宋_GBK" w:eastAsia="方正仿宋_GBK" w:cs="方正仿宋_GBK"/>
          <w:b w:val="0"/>
          <w:bCs w:val="0"/>
          <w:lang w:val="en-US" w:eastAsia="zh-CN"/>
        </w:rPr>
        <w:t>.</w:t>
      </w:r>
      <w:r>
        <w:rPr>
          <w:rFonts w:hint="eastAsia" w:ascii="方正仿宋_GBK" w:hAnsi="方正仿宋_GBK" w:eastAsia="方正仿宋_GBK" w:cs="方正仿宋_GBK"/>
          <w:b w:val="0"/>
          <w:bCs w:val="0"/>
        </w:rPr>
        <w:t>绩</w:t>
      </w:r>
      <w:r>
        <w:rPr>
          <w:rFonts w:ascii="Times New Roman" w:hAnsi="Times New Roman" w:eastAsia="仿宋_GB2312"/>
          <w:b w:val="0"/>
          <w:bCs w:val="0"/>
        </w:rPr>
        <w:t>效评价原则</w:t>
      </w:r>
    </w:p>
    <w:p>
      <w:pPr>
        <w:spacing w:line="560" w:lineRule="exact"/>
        <w:ind w:firstLine="640" w:firstLineChars="200"/>
        <w:rPr>
          <w:rFonts w:eastAsia="仿宋_GB2312"/>
          <w:color w:val="000000"/>
          <w:sz w:val="32"/>
          <w:szCs w:val="32"/>
        </w:rPr>
      </w:pPr>
      <w:r>
        <w:rPr>
          <w:rFonts w:eastAsia="仿宋_GB2312"/>
          <w:color w:val="000000"/>
          <w:sz w:val="32"/>
          <w:szCs w:val="32"/>
        </w:rPr>
        <w:t>本次项目绩效评价遵循以下基本原则：</w:t>
      </w:r>
    </w:p>
    <w:p>
      <w:pPr>
        <w:pStyle w:val="2"/>
        <w:spacing w:before="0" w:after="0" w:line="560" w:lineRule="exact"/>
        <w:ind w:firstLine="640" w:firstLineChars="200"/>
        <w:jc w:val="both"/>
        <w:outlineLvl w:val="9"/>
        <w:rPr>
          <w:rFonts w:ascii="Times New Roman" w:hAnsi="Times New Roman" w:eastAsia="仿宋_GB2312"/>
          <w:b w:val="0"/>
          <w:bCs w:val="0"/>
        </w:rPr>
      </w:pPr>
      <w:r>
        <w:rPr>
          <w:rFonts w:hint="eastAsia" w:ascii="方正仿宋_GBK" w:hAnsi="方正仿宋_GBK" w:eastAsia="方正仿宋_GBK" w:cs="方正仿宋_GBK"/>
          <w:b w:val="0"/>
          <w:bCs w:val="0"/>
        </w:rPr>
        <w:t>（1）</w:t>
      </w:r>
      <w:r>
        <w:rPr>
          <w:rFonts w:ascii="Times New Roman" w:hAnsi="Times New Roman" w:eastAsia="仿宋_GB2312"/>
          <w:b w:val="0"/>
          <w:bCs w:val="0"/>
        </w:rPr>
        <w:t>科学公正。绩效评价应当运用科学合理的方法，按照规范的程序，对项目绩效进行客观、公正的反映。</w:t>
      </w:r>
    </w:p>
    <w:p>
      <w:pPr>
        <w:pStyle w:val="2"/>
        <w:spacing w:before="0" w:after="0" w:line="560" w:lineRule="exact"/>
        <w:ind w:firstLine="640" w:firstLineChars="200"/>
        <w:jc w:val="both"/>
        <w:outlineLvl w:val="9"/>
        <w:rPr>
          <w:rFonts w:ascii="Times New Roman" w:hAnsi="Times New Roman" w:eastAsia="仿宋_GB2312"/>
          <w:b w:val="0"/>
          <w:bCs w:val="0"/>
        </w:rPr>
      </w:pPr>
      <w:r>
        <w:rPr>
          <w:rFonts w:hint="eastAsia" w:ascii="方正仿宋_GBK" w:hAnsi="方正仿宋_GBK" w:eastAsia="方正仿宋_GBK" w:cs="方正仿宋_GBK"/>
          <w:b w:val="0"/>
          <w:bCs w:val="0"/>
        </w:rPr>
        <w:t>（2）</w:t>
      </w:r>
      <w:r>
        <w:rPr>
          <w:rFonts w:ascii="Times New Roman" w:hAnsi="Times New Roman" w:eastAsia="仿宋_GB2312"/>
          <w:b w:val="0"/>
          <w:bCs w:val="0"/>
        </w:rPr>
        <w:t>统筹兼顾。单位自评、部门评价和财政评价应职责明确，各有侧重，相互衔接。单位自评应由项目单位自主实施，即“谁支出、谁自评”。部门评价和财政评价应在单位自评的基础上开展。</w:t>
      </w:r>
    </w:p>
    <w:p>
      <w:pPr>
        <w:pStyle w:val="2"/>
        <w:spacing w:before="0" w:after="0" w:line="560" w:lineRule="exact"/>
        <w:ind w:firstLine="640" w:firstLineChars="200"/>
        <w:jc w:val="both"/>
        <w:outlineLvl w:val="9"/>
        <w:rPr>
          <w:rFonts w:ascii="Times New Roman" w:hAnsi="Times New Roman" w:eastAsia="仿宋_GB2312"/>
          <w:b w:val="0"/>
          <w:bCs w:val="0"/>
        </w:rPr>
      </w:pPr>
      <w:r>
        <w:rPr>
          <w:rFonts w:hint="eastAsia" w:ascii="方正仿宋_GBK" w:hAnsi="方正仿宋_GBK" w:eastAsia="方正仿宋_GBK" w:cs="方正仿宋_GBK"/>
          <w:b w:val="0"/>
          <w:bCs w:val="0"/>
        </w:rPr>
        <w:t>（3）</w:t>
      </w:r>
      <w:r>
        <w:rPr>
          <w:rFonts w:ascii="Times New Roman" w:hAnsi="Times New Roman" w:eastAsia="仿宋_GB2312"/>
          <w:b w:val="0"/>
          <w:bCs w:val="0"/>
        </w:rPr>
        <w:t>激励约束。绩效评价结果应与预算安排、政策调整、改进管理实质性挂钩，体现奖优罚劣和激励相容导向，有效要安排、低效要压减、无效要问责。</w:t>
      </w:r>
    </w:p>
    <w:p>
      <w:pPr>
        <w:pStyle w:val="2"/>
        <w:spacing w:before="0" w:after="0" w:line="560" w:lineRule="exact"/>
        <w:ind w:firstLine="640" w:firstLineChars="200"/>
        <w:jc w:val="both"/>
        <w:outlineLvl w:val="9"/>
        <w:rPr>
          <w:rFonts w:ascii="Times New Roman" w:hAnsi="Times New Roman" w:eastAsia="仿宋_GB2312"/>
          <w:b w:val="0"/>
          <w:bCs w:val="0"/>
        </w:rPr>
      </w:pPr>
      <w:r>
        <w:rPr>
          <w:rFonts w:hint="eastAsia" w:ascii="方正仿宋_GBK" w:hAnsi="方正仿宋_GBK" w:eastAsia="方正仿宋_GBK" w:cs="方正仿宋_GBK"/>
          <w:b w:val="0"/>
          <w:bCs w:val="0"/>
        </w:rPr>
        <w:t>（4）</w:t>
      </w:r>
      <w:r>
        <w:rPr>
          <w:rFonts w:ascii="Times New Roman" w:hAnsi="Times New Roman" w:eastAsia="仿宋_GB2312"/>
          <w:b w:val="0"/>
          <w:bCs w:val="0"/>
        </w:rPr>
        <w:t>公开透明。绩效评价结果应依法依规公开，并自觉接受社会监督。</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hint="eastAsia" w:ascii="方正仿宋_GBK" w:hAnsi="方正仿宋_GBK" w:eastAsia="方正仿宋_GBK" w:cs="方正仿宋_GBK"/>
          <w:b w:val="0"/>
          <w:bCs w:val="0"/>
        </w:rPr>
        <w:t>2</w:t>
      </w:r>
      <w:r>
        <w:rPr>
          <w:rFonts w:hint="eastAsia" w:ascii="方正仿宋_GBK" w:hAnsi="方正仿宋_GBK" w:eastAsia="方正仿宋_GBK" w:cs="方正仿宋_GBK"/>
          <w:b w:val="0"/>
          <w:bCs w:val="0"/>
          <w:lang w:val="en-US" w:eastAsia="zh-CN"/>
        </w:rPr>
        <w:t>.</w:t>
      </w:r>
      <w:r>
        <w:rPr>
          <w:rFonts w:hint="eastAsia" w:ascii="方正仿宋_GBK" w:hAnsi="方正仿宋_GBK" w:eastAsia="方正仿宋_GBK" w:cs="方正仿宋_GBK"/>
          <w:b w:val="0"/>
          <w:bCs w:val="0"/>
        </w:rPr>
        <w:t>评</w:t>
      </w:r>
      <w:r>
        <w:rPr>
          <w:rFonts w:ascii="Times New Roman" w:hAnsi="Times New Roman" w:eastAsia="仿宋_GB2312"/>
          <w:b w:val="0"/>
          <w:bCs w:val="0"/>
        </w:rPr>
        <w:t>价指标体系</w:t>
      </w:r>
    </w:p>
    <w:p>
      <w:pPr>
        <w:spacing w:line="560" w:lineRule="exact"/>
        <w:ind w:firstLine="708" w:firstLineChars="200"/>
        <w:rPr>
          <w:color w:val="000000"/>
          <w:spacing w:val="17"/>
          <w:sz w:val="32"/>
          <w:szCs w:val="32"/>
        </w:rPr>
      </w:pPr>
      <w:r>
        <w:rPr>
          <w:rFonts w:eastAsia="仿宋_GB2312"/>
          <w:color w:val="000000"/>
          <w:spacing w:val="17"/>
          <w:sz w:val="32"/>
          <w:szCs w:val="32"/>
        </w:rPr>
        <w:t>绩效评价框架是开展绩效评价的核心。绩效评价框架包括评价准则、关键评价问题、评价指标、数据来源、数据收集方法等。指标体系建立过程如下：</w:t>
      </w:r>
    </w:p>
    <w:p>
      <w:pPr>
        <w:spacing w:line="560" w:lineRule="exact"/>
        <w:ind w:firstLine="708" w:firstLineChars="200"/>
        <w:rPr>
          <w:rFonts w:eastAsia="仿宋_GB2312"/>
          <w:color w:val="000000"/>
          <w:spacing w:val="17"/>
          <w:sz w:val="32"/>
          <w:szCs w:val="32"/>
        </w:rPr>
      </w:pPr>
      <w:r>
        <w:rPr>
          <w:rFonts w:hint="eastAsia" w:ascii="方正仿宋_GBK" w:hAnsi="方正仿宋_GBK" w:eastAsia="方正仿宋_GBK" w:cs="方正仿宋_GBK"/>
          <w:color w:val="000000"/>
          <w:spacing w:val="17"/>
          <w:sz w:val="32"/>
          <w:szCs w:val="32"/>
        </w:rPr>
        <w:t>（1）</w:t>
      </w:r>
      <w:r>
        <w:rPr>
          <w:rFonts w:eastAsia="仿宋_GB2312"/>
          <w:color w:val="000000"/>
          <w:spacing w:val="17"/>
          <w:sz w:val="32"/>
          <w:szCs w:val="32"/>
        </w:rPr>
        <w:t>确定评价指标</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采用层次分析法，建立评价指标体系。绩效评价将指标分为项目决策指标、项目过程指标、项目产出指标、项目效益指标四个维度，最终形成一个由多个相互联系的指标组成的多层次指标体系。</w:t>
      </w:r>
    </w:p>
    <w:p>
      <w:pPr>
        <w:spacing w:line="560" w:lineRule="exact"/>
        <w:ind w:firstLine="708" w:firstLineChars="200"/>
        <w:rPr>
          <w:rFonts w:eastAsia="仿宋_GB2312"/>
          <w:color w:val="000000"/>
          <w:spacing w:val="17"/>
          <w:sz w:val="32"/>
          <w:szCs w:val="32"/>
        </w:rPr>
      </w:pPr>
      <w:r>
        <w:rPr>
          <w:rFonts w:hint="eastAsia" w:ascii="方正仿宋_GBK" w:hAnsi="方正仿宋_GBK" w:eastAsia="方正仿宋_GBK" w:cs="方正仿宋_GBK"/>
          <w:color w:val="000000"/>
          <w:spacing w:val="17"/>
          <w:sz w:val="32"/>
          <w:szCs w:val="32"/>
        </w:rPr>
        <w:t>（2）</w:t>
      </w:r>
      <w:r>
        <w:rPr>
          <w:rFonts w:eastAsia="仿宋_GB2312"/>
          <w:color w:val="000000"/>
          <w:spacing w:val="17"/>
          <w:sz w:val="32"/>
          <w:szCs w:val="32"/>
        </w:rPr>
        <w:t>确定权重</w:t>
      </w:r>
    </w:p>
    <w:p>
      <w:pPr>
        <w:spacing w:line="560" w:lineRule="exact"/>
        <w:ind w:firstLine="708" w:firstLineChars="200"/>
        <w:rPr>
          <w:rFonts w:eastAsia="仿宋_GB2312"/>
          <w:color w:val="000000"/>
          <w:spacing w:val="17"/>
          <w:sz w:val="32"/>
          <w:szCs w:val="32"/>
        </w:rPr>
      </w:pPr>
      <w:r>
        <w:rPr>
          <w:rFonts w:hint="eastAsia" w:ascii="方正仿宋_GBK" w:hAnsi="方正仿宋_GBK" w:eastAsia="方正仿宋_GBK" w:cs="方正仿宋_GBK"/>
          <w:color w:val="000000"/>
          <w:spacing w:val="17"/>
          <w:sz w:val="32"/>
          <w:szCs w:val="32"/>
        </w:rPr>
        <w:t>确定各个指标相对于项目总体绩效的权重分值。在绩效评价指标体系中，项目决策权重为20分，项目过程权重为20分，项目产出权重为40分，项目效益权重为20分</w:t>
      </w:r>
      <w:r>
        <w:rPr>
          <w:rFonts w:eastAsia="仿宋_GB2312"/>
          <w:color w:val="000000"/>
          <w:spacing w:val="17"/>
          <w:sz w:val="32"/>
          <w:szCs w:val="32"/>
        </w:rPr>
        <w:t>。</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（3）确定指标标准值</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指标标准值是绩效评价指标的尺度，既要反映同类项目的先进水平，又要符合项目的实际绩效水平。具体采用计划标准等确定此次绩效评价指标标准值。</w:t>
      </w:r>
    </w:p>
    <w:p>
      <w:pPr>
        <w:pStyle w:val="2"/>
        <w:spacing w:before="0" w:after="0" w:line="560" w:lineRule="exact"/>
        <w:ind w:firstLine="708" w:firstLineChars="200"/>
        <w:jc w:val="both"/>
        <w:rPr>
          <w:rFonts w:hint="eastAsia" w:ascii="方正仿宋_GBK" w:hAnsi="方正仿宋_GBK" w:eastAsia="方正仿宋_GBK" w:cs="方正仿宋_GBK"/>
          <w:b w:val="0"/>
          <w:bCs w:val="0"/>
          <w:color w:val="000000"/>
          <w:spacing w:val="17"/>
          <w:kern w:val="2"/>
        </w:rPr>
      </w:pPr>
      <w:r>
        <w:rPr>
          <w:rFonts w:hint="eastAsia" w:ascii="方正仿宋_GBK" w:hAnsi="方正仿宋_GBK" w:eastAsia="方正仿宋_GBK" w:cs="方正仿宋_GBK"/>
          <w:b w:val="0"/>
          <w:bCs w:val="0"/>
          <w:color w:val="000000"/>
          <w:spacing w:val="17"/>
          <w:kern w:val="2"/>
        </w:rPr>
        <w:t>绩效评价总分值100分，根据综合评分结果，评价计分90分-100分（含90分）对应的评分结果级别为优，80-90分（含80分）对应的评分结果级别为良，60-80分（含60分）对应的评分结果级别为中，60分以下对应的评分结果级别为差。</w:t>
      </w:r>
    </w:p>
    <w:p>
      <w:pPr>
        <w:pStyle w:val="2"/>
        <w:widowControl w:val="0"/>
        <w:spacing w:before="0" w:after="0" w:line="560" w:lineRule="exact"/>
        <w:ind w:firstLine="708" w:firstLineChars="200"/>
        <w:jc w:val="both"/>
        <w:outlineLvl w:val="9"/>
        <w:rPr>
          <w:rFonts w:ascii="Times New Roman" w:hAnsi="Times New Roman" w:eastAsia="仿宋_GB2312"/>
          <w:b w:val="0"/>
          <w:bCs w:val="0"/>
          <w:color w:val="000000"/>
          <w:spacing w:val="17"/>
        </w:rPr>
      </w:pPr>
      <w:r>
        <w:rPr>
          <w:rFonts w:ascii="Times New Roman" w:hAnsi="Times New Roman" w:eastAsia="仿宋_GB2312"/>
          <w:b w:val="0"/>
          <w:bCs w:val="0"/>
          <w:color w:val="000000"/>
          <w:spacing w:val="17"/>
        </w:rPr>
        <w:t>具体评价指标体系详情见附</w:t>
      </w:r>
      <w:r>
        <w:rPr>
          <w:rFonts w:hint="eastAsia" w:ascii="方正仿宋_GBK" w:hAnsi="方正仿宋_GBK" w:eastAsia="方正仿宋_GBK" w:cs="方正仿宋_GBK"/>
          <w:b w:val="0"/>
          <w:bCs w:val="0"/>
          <w:color w:val="000000"/>
          <w:spacing w:val="17"/>
        </w:rPr>
        <w:t>件1</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hint="eastAsia" w:ascii="方正仿宋_GBK" w:hAnsi="方正仿宋_GBK" w:eastAsia="方正仿宋_GBK" w:cs="方正仿宋_GBK"/>
          <w:b w:val="0"/>
          <w:bCs w:val="0"/>
        </w:rPr>
        <w:t>3</w:t>
      </w:r>
      <w:r>
        <w:rPr>
          <w:rFonts w:hint="eastAsia" w:ascii="方正仿宋_GBK" w:hAnsi="方正仿宋_GBK" w:eastAsia="方正仿宋_GBK" w:cs="方正仿宋_GBK"/>
          <w:b w:val="0"/>
          <w:bCs w:val="0"/>
          <w:lang w:val="en-US" w:eastAsia="zh-CN"/>
        </w:rPr>
        <w:t>.</w:t>
      </w:r>
      <w:r>
        <w:rPr>
          <w:rFonts w:ascii="Times New Roman" w:hAnsi="Times New Roman" w:eastAsia="仿宋_GB2312"/>
          <w:b w:val="0"/>
          <w:bCs w:val="0"/>
        </w:rPr>
        <w:t>绩效评价方法</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绩效评价从项目决策、项目过程、项目产出、项目效益四个维度进行评价。评价对象为项目目标实施情况，  评价核心为资金的支出完成情况和项目的产出效益。</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本次评价指标中，既有定性指标又有定量指标，各类指标因考核内容不同和客观标准不同存在较大差异，因此核定具体指标时采用了不同方法，具体评价方法如下：</w:t>
      </w:r>
      <w:r>
        <w:rPr>
          <w:rFonts w:hint="eastAsia" w:ascii="方正仿宋_GBK" w:hAnsi="方正仿宋_GBK" w:eastAsia="方正仿宋_GBK" w:cs="方正仿宋_GBK"/>
          <w:color w:val="000000"/>
          <w:spacing w:val="17"/>
          <w:sz w:val="32"/>
          <w:szCs w:val="32"/>
        </w:rPr>
        <w:t>（1）比</w:t>
      </w:r>
      <w:r>
        <w:rPr>
          <w:rFonts w:eastAsia="仿宋_GB2312"/>
          <w:color w:val="000000"/>
          <w:spacing w:val="17"/>
          <w:sz w:val="32"/>
          <w:szCs w:val="32"/>
        </w:rPr>
        <w:t>较法</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通过对绩效目标与实施效果、历史与当期情况，综合分析绩效目标实现程度。对</w:t>
      </w:r>
      <w:r>
        <w:rPr>
          <w:rFonts w:eastAsia="仿宋_GB2312"/>
          <w:sz w:val="32"/>
          <w:szCs w:val="32"/>
        </w:rPr>
        <w:t>项目</w:t>
      </w:r>
      <w:r>
        <w:rPr>
          <w:rFonts w:eastAsia="仿宋_GB2312"/>
          <w:color w:val="000000"/>
          <w:spacing w:val="17"/>
          <w:sz w:val="32"/>
          <w:szCs w:val="32"/>
        </w:rPr>
        <w:t>最终验收情况与年度绩效目标对比、预算资金执行情况等相关因素进行比较。</w:t>
      </w:r>
    </w:p>
    <w:p>
      <w:pPr>
        <w:spacing w:line="560" w:lineRule="exact"/>
        <w:ind w:firstLine="708" w:firstLineChars="200"/>
        <w:rPr>
          <w:rFonts w:eastAsia="仿宋_GB2312"/>
          <w:color w:val="000000"/>
          <w:spacing w:val="17"/>
          <w:sz w:val="32"/>
          <w:szCs w:val="32"/>
        </w:rPr>
      </w:pPr>
      <w:r>
        <w:rPr>
          <w:rFonts w:hint="eastAsia" w:ascii="方正仿宋_GBK" w:hAnsi="方正仿宋_GBK" w:eastAsia="方正仿宋_GBK" w:cs="方正仿宋_GBK"/>
          <w:color w:val="000000"/>
          <w:spacing w:val="17"/>
          <w:sz w:val="32"/>
          <w:szCs w:val="32"/>
        </w:rPr>
        <w:t>（2）</w:t>
      </w:r>
      <w:r>
        <w:rPr>
          <w:rFonts w:eastAsia="仿宋_GB2312"/>
          <w:color w:val="000000"/>
          <w:spacing w:val="17"/>
          <w:sz w:val="32"/>
          <w:szCs w:val="32"/>
        </w:rPr>
        <w:t>因素分析法</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通过综合分析影响绩效目标实现、实施效果的内外因素，评价绩效目标实现程度。通过对</w:t>
      </w:r>
      <w:r>
        <w:rPr>
          <w:rFonts w:eastAsia="仿宋_GB2312"/>
          <w:sz w:val="32"/>
          <w:szCs w:val="32"/>
        </w:rPr>
        <w:t>项目</w:t>
      </w:r>
      <w:r>
        <w:rPr>
          <w:rFonts w:eastAsia="仿宋_GB2312"/>
          <w:color w:val="000000"/>
          <w:spacing w:val="17"/>
          <w:sz w:val="32"/>
          <w:szCs w:val="32"/>
        </w:rPr>
        <w:t>的开展情况、项目产出数量、成本控制、资金拨付文件及自评报告等相关资料的收集和审核，综合分析各因素对绩效目标实现的影响。</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hint="eastAsia" w:ascii="方正仿宋_GBK" w:hAnsi="方正仿宋_GBK" w:eastAsia="方正仿宋_GBK" w:cs="方正仿宋_GBK"/>
          <w:b w:val="0"/>
          <w:bCs w:val="0"/>
        </w:rPr>
        <w:t>4</w:t>
      </w:r>
      <w:r>
        <w:rPr>
          <w:rFonts w:hint="eastAsia" w:ascii="方正仿宋_GBK" w:hAnsi="方正仿宋_GBK" w:eastAsia="方正仿宋_GBK" w:cs="方正仿宋_GBK"/>
          <w:b w:val="0"/>
          <w:bCs w:val="0"/>
          <w:lang w:val="en-US" w:eastAsia="zh-CN"/>
        </w:rPr>
        <w:t>.</w:t>
      </w:r>
      <w:r>
        <w:rPr>
          <w:rFonts w:ascii="Times New Roman" w:hAnsi="Times New Roman" w:eastAsia="仿宋_GB2312"/>
          <w:b w:val="0"/>
          <w:bCs w:val="0"/>
        </w:rPr>
        <w:t>评价标准</w:t>
      </w:r>
    </w:p>
    <w:p>
      <w:pPr>
        <w:spacing w:line="560" w:lineRule="exact"/>
        <w:ind w:firstLine="640"/>
        <w:rPr>
          <w:rFonts w:eastAsia="方正仿宋_GBK" w:cs="方正仿宋_GBK"/>
          <w:color w:val="FF0000"/>
          <w:sz w:val="32"/>
          <w:szCs w:val="32"/>
          <w:highlight w:val="none"/>
        </w:rPr>
      </w:pPr>
      <w:r>
        <w:rPr>
          <w:rFonts w:hint="eastAsia" w:eastAsia="方正仿宋_GBK" w:cs="方正仿宋_GBK"/>
          <w:sz w:val="32"/>
          <w:szCs w:val="32"/>
        </w:rPr>
        <w:t>绩效评价标准通常包括计划标准、行业标准、历史标准等，用于对绩效指标完成情况进行比较、分析、评价。</w:t>
      </w:r>
      <w:r>
        <w:rPr>
          <w:rFonts w:hint="eastAsia" w:eastAsia="方正仿宋_GBK" w:cs="方正仿宋_GBK"/>
          <w:sz w:val="32"/>
          <w:szCs w:val="32"/>
          <w:highlight w:val="none"/>
        </w:rPr>
        <w:t>本次</w:t>
      </w:r>
      <w:r>
        <w:rPr>
          <w:rFonts w:hint="eastAsia" w:eastAsia="方正仿宋_GBK" w:cs="方正仿宋_GBK"/>
          <w:color w:val="auto"/>
          <w:sz w:val="32"/>
          <w:szCs w:val="32"/>
          <w:highlight w:val="none"/>
        </w:rPr>
        <w:t>评价主要采用了</w:t>
      </w:r>
      <w:r>
        <w:rPr>
          <w:rFonts w:hint="eastAsia" w:eastAsia="方正仿宋_GBK" w:cs="方正仿宋_GBK"/>
          <w:color w:val="auto"/>
          <w:sz w:val="32"/>
          <w:szCs w:val="32"/>
          <w:highlight w:val="none"/>
          <w:lang w:val="en-US" w:eastAsia="zh-CN"/>
        </w:rPr>
        <w:t>计划标准</w:t>
      </w:r>
      <w:r>
        <w:rPr>
          <w:rFonts w:hint="eastAsia" w:eastAsia="方正仿宋_GBK" w:cs="方正仿宋_GBK"/>
          <w:color w:val="auto"/>
          <w:sz w:val="32"/>
          <w:szCs w:val="32"/>
          <w:highlight w:val="none"/>
        </w:rPr>
        <w:t>标</w:t>
      </w:r>
    </w:p>
    <w:p>
      <w:pPr>
        <w:spacing w:line="560" w:lineRule="exact"/>
        <w:ind w:firstLine="640"/>
        <w:rPr>
          <w:rFonts w:eastAsia="方正仿宋_GBK" w:cs="方正仿宋_GBK"/>
          <w:sz w:val="32"/>
          <w:szCs w:val="32"/>
        </w:rPr>
      </w:pPr>
      <w:bookmarkStart w:id="0" w:name="_Toc17882"/>
      <w:bookmarkStart w:id="1" w:name="_Toc31464"/>
      <w:r>
        <w:rPr>
          <w:rFonts w:hint="eastAsia" w:eastAsia="方正仿宋_GBK" w:cs="方正仿宋_GBK"/>
          <w:b/>
          <w:bCs/>
          <w:sz w:val="32"/>
          <w:szCs w:val="32"/>
        </w:rPr>
        <w:t>计划标准：</w:t>
      </w:r>
      <w:r>
        <w:rPr>
          <w:rFonts w:hint="eastAsia" w:eastAsia="方正仿宋_GBK" w:cs="方正仿宋_GBK"/>
          <w:sz w:val="32"/>
          <w:szCs w:val="32"/>
        </w:rPr>
        <w:t>指以预先制定的目标、计划、预算、定额等作为评价标准。</w:t>
      </w:r>
      <w:bookmarkEnd w:id="0"/>
      <w:bookmarkEnd w:id="1"/>
    </w:p>
    <w:p>
      <w:pPr>
        <w:spacing w:line="560" w:lineRule="exact"/>
        <w:ind w:firstLine="640"/>
        <w:rPr>
          <w:rFonts w:eastAsia="方正仿宋_GBK" w:cs="方正仿宋_GBK"/>
          <w:sz w:val="32"/>
          <w:szCs w:val="32"/>
        </w:rPr>
      </w:pPr>
      <w:bookmarkStart w:id="2" w:name="_Toc2318"/>
      <w:bookmarkStart w:id="3" w:name="_Toc5633"/>
      <w:r>
        <w:rPr>
          <w:rFonts w:hint="eastAsia" w:eastAsia="方正仿宋_GBK" w:cs="方正仿宋_GBK"/>
          <w:b/>
          <w:bCs/>
          <w:sz w:val="32"/>
          <w:szCs w:val="32"/>
        </w:rPr>
        <w:t>行业标准：</w:t>
      </w:r>
      <w:r>
        <w:rPr>
          <w:rFonts w:hint="eastAsia" w:eastAsia="方正仿宋_GBK" w:cs="方正仿宋_GBK"/>
          <w:sz w:val="32"/>
          <w:szCs w:val="32"/>
        </w:rPr>
        <w:t>指参照国家公布的行业指标数据制定的评价标准。</w:t>
      </w:r>
      <w:bookmarkEnd w:id="2"/>
      <w:bookmarkEnd w:id="3"/>
    </w:p>
    <w:p>
      <w:pPr>
        <w:spacing w:line="560" w:lineRule="exact"/>
        <w:ind w:firstLine="640"/>
        <w:rPr>
          <w:rFonts w:eastAsia="方正仿宋_GBK" w:cs="方正仿宋_GBK"/>
          <w:sz w:val="32"/>
          <w:szCs w:val="32"/>
        </w:rPr>
      </w:pPr>
      <w:bookmarkStart w:id="4" w:name="_Toc430"/>
      <w:bookmarkStart w:id="5" w:name="_Toc16028"/>
      <w:r>
        <w:rPr>
          <w:rFonts w:hint="eastAsia" w:eastAsia="方正仿宋_GBK" w:cs="方正仿宋_GBK"/>
          <w:b/>
          <w:bCs/>
          <w:sz w:val="32"/>
          <w:szCs w:val="32"/>
        </w:rPr>
        <w:t>历史标准：</w:t>
      </w:r>
      <w:r>
        <w:rPr>
          <w:rFonts w:hint="eastAsia" w:eastAsia="方正仿宋_GBK" w:cs="方正仿宋_GBK"/>
          <w:sz w:val="32"/>
          <w:szCs w:val="32"/>
        </w:rPr>
        <w:t>指参照历史数据制定的评价标准，为体现绩效改进的原则，在可实现的条件下应当确定相对较高的评价标准。</w:t>
      </w:r>
      <w:bookmarkEnd w:id="4"/>
      <w:bookmarkEnd w:id="5"/>
    </w:p>
    <w:p>
      <w:pPr>
        <w:pStyle w:val="2"/>
        <w:numPr>
          <w:ilvl w:val="0"/>
          <w:numId w:val="1"/>
        </w:numPr>
        <w:spacing w:before="0" w:after="0" w:line="560" w:lineRule="exact"/>
        <w:ind w:firstLine="710" w:firstLineChars="200"/>
        <w:jc w:val="both"/>
        <w:rPr>
          <w:rFonts w:ascii="楷体" w:hAnsi="楷体" w:eastAsia="楷体" w:cs="楷体"/>
          <w:color w:val="000000"/>
          <w:spacing w:val="17"/>
        </w:rPr>
      </w:pPr>
      <w:r>
        <w:rPr>
          <w:rFonts w:hint="eastAsia" w:ascii="楷体" w:hAnsi="楷体" w:eastAsia="楷体" w:cs="楷体"/>
          <w:color w:val="000000"/>
          <w:spacing w:val="17"/>
        </w:rPr>
        <w:t>绩效评价工作过程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eastAsia="仿宋_GB2312"/>
          <w:bCs/>
          <w:sz w:val="32"/>
          <w:szCs w:val="32"/>
        </w:rPr>
      </w:pPr>
      <w:r>
        <w:rPr>
          <w:rFonts w:hint="eastAsia" w:ascii="方正仿宋_GBK" w:hAnsi="方正仿宋_GBK" w:eastAsia="方正仿宋_GBK" w:cs="方正仿宋_GBK"/>
          <w:bCs/>
          <w:sz w:val="32"/>
          <w:szCs w:val="32"/>
          <w:lang w:val="en-US" w:eastAsia="zh-CN"/>
        </w:rPr>
        <w:t>1.</w:t>
      </w:r>
      <w:r>
        <w:rPr>
          <w:rFonts w:hint="eastAsia" w:eastAsia="仿宋_GB2312"/>
          <w:bCs/>
          <w:sz w:val="32"/>
          <w:szCs w:val="32"/>
        </w:rPr>
        <w:t>前期准备。首先成立评价工作组，开展前期调研；其次明确项目绩效目标，设计绩效评价指标体系并确定绩效评价方法；接着确定现场和非现场评价范围，设计资料清单；最后制定评价实施方案并进行论证。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eastAsia="仿宋_GB2312"/>
          <w:bCs/>
          <w:sz w:val="32"/>
          <w:szCs w:val="32"/>
        </w:rPr>
      </w:pPr>
      <w:r>
        <w:rPr>
          <w:rFonts w:hint="eastAsia" w:ascii="方正仿宋_GBK" w:hAnsi="方正仿宋_GBK" w:eastAsia="方正仿宋_GBK" w:cs="方正仿宋_GBK"/>
          <w:bCs/>
          <w:sz w:val="32"/>
          <w:szCs w:val="32"/>
          <w:lang w:val="en-US" w:eastAsia="zh-CN"/>
        </w:rPr>
        <w:t>2.</w:t>
      </w:r>
      <w:r>
        <w:rPr>
          <w:rFonts w:hint="eastAsia" w:eastAsia="仿宋_GB2312"/>
          <w:bCs/>
          <w:sz w:val="32"/>
          <w:szCs w:val="32"/>
        </w:rPr>
        <w:t>组织实施。制定绩效评价工作方案，具体包括项目概况、评价思路、方法手段、组织实施、进度安排等。收集项目立项依据、相关会议纪要、实施方案、财政资金分配方案、支付管理情况等相关评价资料并进行梳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sz w:val="32"/>
          <w:szCs w:val="32"/>
        </w:rPr>
      </w:pPr>
      <w:r>
        <w:rPr>
          <w:rFonts w:hint="eastAsia" w:ascii="方正仿宋_GBK" w:hAnsi="方正仿宋_GBK" w:eastAsia="方正仿宋_GBK" w:cs="方正仿宋_GBK"/>
          <w:bCs/>
          <w:sz w:val="32"/>
          <w:szCs w:val="32"/>
          <w:lang w:val="en-US" w:eastAsia="zh-CN"/>
        </w:rPr>
        <w:t>3.</w:t>
      </w:r>
      <w:r>
        <w:rPr>
          <w:rFonts w:hint="eastAsia" w:eastAsia="仿宋_GB2312"/>
          <w:bCs/>
          <w:sz w:val="32"/>
          <w:szCs w:val="32"/>
        </w:rPr>
        <w:t>分析评价。根据收集梳理的资料围绕项目立项、资金落实、业务管理、财务管理、项目产出、项目效益等内容，对照已确定的绩效评价指标进行详细全面的分析评价，逐项打分并形成绩效评价最终结果。</w:t>
      </w:r>
    </w:p>
    <w:p>
      <w:pPr>
        <w:numPr>
          <w:ilvl w:val="0"/>
          <w:numId w:val="2"/>
        </w:numPr>
        <w:spacing w:line="560" w:lineRule="exact"/>
        <w:ind w:firstLine="640" w:firstLineChars="200"/>
        <w:rPr>
          <w:rFonts w:eastAsia="黑体"/>
          <w:sz w:val="32"/>
          <w:szCs w:val="32"/>
        </w:rPr>
      </w:pPr>
      <w:r>
        <w:rPr>
          <w:rFonts w:eastAsia="黑体"/>
          <w:sz w:val="32"/>
          <w:szCs w:val="32"/>
        </w:rPr>
        <w:t>综合评价情况及评价结论（附相关评分表）</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2" w:firstLineChars="200"/>
        <w:jc w:val="both"/>
        <w:textAlignment w:val="auto"/>
        <w:rPr>
          <w:rFonts w:hint="eastAsia" w:ascii="Times New Roman" w:hAnsi="Times New Roman" w:eastAsia="楷体_GB2312"/>
          <w:lang w:val="en-US" w:eastAsia="zh-CN"/>
        </w:rPr>
      </w:pPr>
      <w:r>
        <w:rPr>
          <w:rFonts w:hint="eastAsia" w:ascii="Times New Roman" w:hAnsi="Times New Roman" w:eastAsia="楷体_GB2312"/>
          <w:lang w:eastAsia="zh-CN"/>
        </w:rPr>
        <w:t>（</w:t>
      </w:r>
      <w:r>
        <w:rPr>
          <w:rFonts w:hint="eastAsia" w:ascii="Times New Roman" w:hAnsi="Times New Roman" w:eastAsia="楷体_GB2312"/>
          <w:lang w:val="en-US" w:eastAsia="zh-CN"/>
        </w:rPr>
        <w:t>一</w:t>
      </w:r>
      <w:r>
        <w:rPr>
          <w:rFonts w:hint="eastAsia" w:ascii="Times New Roman" w:hAnsi="Times New Roman" w:eastAsia="楷体_GB2312"/>
          <w:lang w:eastAsia="zh-CN"/>
        </w:rPr>
        <w:t>）</w:t>
      </w:r>
      <w:r>
        <w:rPr>
          <w:rFonts w:hint="eastAsia" w:ascii="Times New Roman" w:hAnsi="Times New Roman" w:eastAsia="楷体_GB2312"/>
          <w:lang w:val="en-US" w:eastAsia="zh-CN"/>
        </w:rPr>
        <w:t>评价情况</w:t>
      </w:r>
    </w:p>
    <w:p>
      <w:pPr>
        <w:shd w:val="clear"/>
        <w:spacing w:line="600" w:lineRule="exact"/>
        <w:ind w:firstLine="640" w:firstLineChars="200"/>
        <w:outlineLvl w:val="0"/>
        <w:rPr>
          <w:rFonts w:hint="default" w:ascii="Times New Roman" w:hAnsi="Times New Roman" w:eastAsia="仿宋_GB2312" w:cs="Times New Roman"/>
          <w:b w:val="0"/>
          <w:bCs w:val="0"/>
          <w:kern w:val="28"/>
          <w:sz w:val="32"/>
          <w:szCs w:val="32"/>
          <w:lang w:val="en-US" w:eastAsia="zh-CN" w:bidi="ar-SA"/>
        </w:rPr>
      </w:pPr>
      <w:r>
        <w:rPr>
          <w:rFonts w:hint="eastAsia" w:ascii="Times New Roman" w:hAnsi="Times New Roman" w:eastAsia="仿宋_GB2312" w:cs="Times New Roman"/>
          <w:b w:val="0"/>
          <w:bCs w:val="0"/>
          <w:kern w:val="28"/>
          <w:sz w:val="32"/>
          <w:szCs w:val="32"/>
          <w:lang w:val="en-US" w:eastAsia="zh-CN" w:bidi="ar-SA"/>
        </w:rPr>
        <w:t>项目总体组织规范，在项目实施过程做到认真履职，监督到位。按照相关制度的要求，项目负责人对项目绩效监控执行情况进行跟踪监督，有效完成了本项目的工作目标，确保资金使用安全和最大效益的发挥，保障项目如期按要求完成。规范了项目档案资料的整理。项目的实施达到项目预期效果。</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2" w:firstLineChars="200"/>
        <w:jc w:val="both"/>
        <w:textAlignment w:val="auto"/>
        <w:rPr>
          <w:rFonts w:hint="eastAsia" w:ascii="Times New Roman" w:hAnsi="Times New Roman" w:eastAsia="楷体_GB2312" w:cs="Times New Roman"/>
          <w:lang w:val="en-US" w:eastAsia="zh-CN"/>
        </w:rPr>
      </w:pPr>
      <w:r>
        <w:rPr>
          <w:rFonts w:hint="eastAsia" w:ascii="Times New Roman" w:hAnsi="Times New Roman" w:eastAsia="楷体_GB2312" w:cs="Times New Roman"/>
          <w:lang w:eastAsia="zh-CN"/>
        </w:rPr>
        <w:t>（</w:t>
      </w:r>
      <w:r>
        <w:rPr>
          <w:rFonts w:hint="eastAsia" w:ascii="Times New Roman" w:hAnsi="Times New Roman" w:eastAsia="楷体_GB2312" w:cs="Times New Roman"/>
          <w:lang w:val="en-US" w:eastAsia="zh-CN"/>
        </w:rPr>
        <w:t>二</w:t>
      </w:r>
      <w:r>
        <w:rPr>
          <w:rFonts w:hint="eastAsia" w:ascii="Times New Roman" w:hAnsi="Times New Roman" w:eastAsia="楷体_GB2312" w:cs="Times New Roman"/>
          <w:lang w:eastAsia="zh-CN"/>
        </w:rPr>
        <w:t>）</w:t>
      </w:r>
      <w:r>
        <w:rPr>
          <w:rFonts w:hint="eastAsia" w:ascii="Times New Roman" w:hAnsi="Times New Roman" w:eastAsia="楷体_GB2312" w:cs="Times New Roman"/>
          <w:lang w:val="en-US" w:eastAsia="zh-CN"/>
        </w:rPr>
        <w:t>评价结论</w:t>
      </w:r>
    </w:p>
    <w:p>
      <w:pPr>
        <w:pStyle w:val="2"/>
        <w:widowControl w:val="0"/>
        <w:spacing w:before="0" w:after="0" w:line="560" w:lineRule="exact"/>
        <w:ind w:firstLine="640" w:firstLineChars="200"/>
        <w:jc w:val="both"/>
        <w:outlineLvl w:val="9"/>
        <w:rPr>
          <w:rFonts w:hint="eastAsia" w:ascii="方正仿宋_GBK" w:hAnsi="方正仿宋_GBK" w:eastAsia="方正仿宋_GBK" w:cs="方正仿宋_GBK"/>
          <w:b w:val="0"/>
          <w:bCs w:val="0"/>
          <w:lang w:eastAsia="zh-CN"/>
        </w:rPr>
      </w:pPr>
      <w:r>
        <w:rPr>
          <w:rFonts w:hint="eastAsia" w:ascii="Times New Roman" w:hAnsi="Times New Roman" w:eastAsia="仿宋_GB2312"/>
          <w:b w:val="0"/>
          <w:bCs w:val="0"/>
        </w:rPr>
        <w:t>运用绩效评价组制定的评价指标体系以及财政部《项目支出绩效评价管理办法》（财预〔2020〕10号）文件的评分标准，通过数据采集、问卷调查及访谈</w:t>
      </w:r>
      <w:bookmarkStart w:id="9" w:name="_GoBack"/>
      <w:bookmarkEnd w:id="9"/>
      <w:r>
        <w:rPr>
          <w:rFonts w:hint="eastAsia" w:ascii="Times New Roman" w:hAnsi="Times New Roman" w:eastAsia="仿宋_GB2312"/>
          <w:b w:val="0"/>
          <w:bCs w:val="0"/>
        </w:rPr>
        <w:t>等方式，对本项目进行客观评价，</w:t>
      </w:r>
      <w:r>
        <w:rPr>
          <w:rFonts w:hint="eastAsia" w:ascii="方正仿宋_GBK" w:hAnsi="方正仿宋_GBK" w:eastAsia="方正仿宋_GBK" w:cs="方正仿宋_GBK"/>
          <w:b w:val="0"/>
          <w:bCs w:val="0"/>
        </w:rPr>
        <w:t>最终评分结果：</w:t>
      </w:r>
      <w:r>
        <w:rPr>
          <w:rFonts w:hint="eastAsia" w:ascii="方正仿宋_GBK" w:hAnsi="方正仿宋_GBK" w:eastAsia="方正仿宋_GBK" w:cs="方正仿宋_GBK"/>
          <w:b w:val="0"/>
          <w:bCs w:val="0"/>
          <w:highlight w:val="none"/>
        </w:rPr>
        <w:t>总得分为</w:t>
      </w:r>
      <w:r>
        <w:rPr>
          <w:rFonts w:hint="eastAsia" w:ascii="方正仿宋_GBK" w:hAnsi="方正仿宋_GBK" w:eastAsia="方正仿宋_GBK" w:cs="方正仿宋_GBK"/>
          <w:b w:val="0"/>
          <w:bCs w:val="0"/>
          <w:highlight w:val="none"/>
          <w:lang w:val="en-US" w:eastAsia="zh-CN"/>
        </w:rPr>
        <w:t>100</w:t>
      </w:r>
      <w:r>
        <w:rPr>
          <w:rFonts w:hint="eastAsia" w:ascii="方正仿宋_GBK" w:hAnsi="方正仿宋_GBK" w:eastAsia="方正仿宋_GBK" w:cs="方正仿宋_GBK"/>
          <w:b w:val="0"/>
          <w:bCs w:val="0"/>
          <w:highlight w:val="none"/>
        </w:rPr>
        <w:t>分，属于“优（良/中/差）”。其中，项目决策类指标权重为20分，得分为</w:t>
      </w:r>
      <w:r>
        <w:rPr>
          <w:rFonts w:hint="eastAsia" w:ascii="方正仿宋_GBK" w:hAnsi="方正仿宋_GBK" w:eastAsia="方正仿宋_GBK" w:cs="方正仿宋_GBK"/>
          <w:b w:val="0"/>
          <w:bCs w:val="0"/>
          <w:highlight w:val="none"/>
          <w:lang w:val="en-US" w:eastAsia="zh-CN"/>
        </w:rPr>
        <w:t>20</w:t>
      </w:r>
      <w:r>
        <w:rPr>
          <w:rFonts w:hint="eastAsia" w:ascii="方正仿宋_GBK" w:hAnsi="方正仿宋_GBK" w:eastAsia="方正仿宋_GBK" w:cs="方正仿宋_GBK"/>
          <w:b w:val="0"/>
          <w:bCs w:val="0"/>
          <w:highlight w:val="none"/>
        </w:rPr>
        <w:t xml:space="preserve">分，得分率为 </w:t>
      </w:r>
      <w:r>
        <w:rPr>
          <w:rFonts w:hint="eastAsia" w:ascii="方正仿宋_GBK" w:hAnsi="方正仿宋_GBK" w:eastAsia="方正仿宋_GBK" w:cs="方正仿宋_GBK"/>
          <w:b w:val="0"/>
          <w:bCs w:val="0"/>
          <w:highlight w:val="none"/>
          <w:lang w:val="en-US" w:eastAsia="zh-CN"/>
        </w:rPr>
        <w:t>100</w:t>
      </w:r>
      <w:r>
        <w:rPr>
          <w:rFonts w:hint="eastAsia" w:ascii="方正仿宋_GBK" w:hAnsi="方正仿宋_GBK" w:eastAsia="方正仿宋_GBK" w:cs="方正仿宋_GBK"/>
          <w:b w:val="0"/>
          <w:bCs w:val="0"/>
          <w:highlight w:val="none"/>
        </w:rPr>
        <w:t>%。项目过程类指标权重为20分，得分为</w:t>
      </w:r>
      <w:r>
        <w:rPr>
          <w:rFonts w:hint="eastAsia" w:ascii="方正仿宋_GBK" w:hAnsi="方正仿宋_GBK" w:eastAsia="方正仿宋_GBK" w:cs="方正仿宋_GBK"/>
          <w:b w:val="0"/>
          <w:bCs w:val="0"/>
          <w:highlight w:val="none"/>
          <w:lang w:val="en-US" w:eastAsia="zh-CN"/>
        </w:rPr>
        <w:t>20</w:t>
      </w:r>
      <w:r>
        <w:rPr>
          <w:rFonts w:hint="eastAsia" w:ascii="方正仿宋_GBK" w:hAnsi="方正仿宋_GBK" w:eastAsia="方正仿宋_GBK" w:cs="方正仿宋_GBK"/>
          <w:b w:val="0"/>
          <w:bCs w:val="0"/>
          <w:highlight w:val="none"/>
        </w:rPr>
        <w:t xml:space="preserve">分，得分率为 </w:t>
      </w:r>
      <w:r>
        <w:rPr>
          <w:rFonts w:hint="eastAsia" w:ascii="方正仿宋_GBK" w:hAnsi="方正仿宋_GBK" w:eastAsia="方正仿宋_GBK" w:cs="方正仿宋_GBK"/>
          <w:b w:val="0"/>
          <w:bCs w:val="0"/>
          <w:highlight w:val="none"/>
          <w:lang w:val="en-US" w:eastAsia="zh-CN"/>
        </w:rPr>
        <w:t>100</w:t>
      </w:r>
      <w:r>
        <w:rPr>
          <w:rFonts w:hint="eastAsia" w:ascii="方正仿宋_GBK" w:hAnsi="方正仿宋_GBK" w:eastAsia="方正仿宋_GBK" w:cs="方正仿宋_GBK"/>
          <w:b w:val="0"/>
          <w:bCs w:val="0"/>
          <w:highlight w:val="none"/>
        </w:rPr>
        <w:t>%。项目产出类指标权重为40分，得分为</w:t>
      </w:r>
      <w:r>
        <w:rPr>
          <w:rFonts w:hint="eastAsia" w:ascii="方正仿宋_GBK" w:hAnsi="方正仿宋_GBK" w:eastAsia="方正仿宋_GBK" w:cs="方正仿宋_GBK"/>
          <w:b w:val="0"/>
          <w:bCs w:val="0"/>
          <w:highlight w:val="none"/>
          <w:lang w:val="en-US" w:eastAsia="zh-CN"/>
        </w:rPr>
        <w:t>40</w:t>
      </w:r>
      <w:r>
        <w:rPr>
          <w:rFonts w:hint="eastAsia" w:ascii="方正仿宋_GBK" w:hAnsi="方正仿宋_GBK" w:eastAsia="方正仿宋_GBK" w:cs="方正仿宋_GBK"/>
          <w:b w:val="0"/>
          <w:bCs w:val="0"/>
          <w:highlight w:val="none"/>
        </w:rPr>
        <w:t xml:space="preserve">分，得分率为 </w:t>
      </w:r>
      <w:r>
        <w:rPr>
          <w:rFonts w:hint="eastAsia" w:ascii="方正仿宋_GBK" w:hAnsi="方正仿宋_GBK" w:eastAsia="方正仿宋_GBK" w:cs="方正仿宋_GBK"/>
          <w:b w:val="0"/>
          <w:bCs w:val="0"/>
          <w:highlight w:val="none"/>
          <w:lang w:val="en-US" w:eastAsia="zh-CN"/>
        </w:rPr>
        <w:t>100</w:t>
      </w:r>
      <w:r>
        <w:rPr>
          <w:rFonts w:hint="eastAsia" w:ascii="方正仿宋_GBK" w:hAnsi="方正仿宋_GBK" w:eastAsia="方正仿宋_GBK" w:cs="方正仿宋_GBK"/>
          <w:b w:val="0"/>
          <w:bCs w:val="0"/>
          <w:highlight w:val="none"/>
        </w:rPr>
        <w:t>%。项目效益类指标权重为20分，得分为</w:t>
      </w:r>
      <w:r>
        <w:rPr>
          <w:rFonts w:hint="eastAsia" w:ascii="方正仿宋_GBK" w:hAnsi="方正仿宋_GBK" w:eastAsia="方正仿宋_GBK" w:cs="方正仿宋_GBK"/>
          <w:b w:val="0"/>
          <w:bCs w:val="0"/>
          <w:highlight w:val="none"/>
          <w:lang w:val="en-US" w:eastAsia="zh-CN"/>
        </w:rPr>
        <w:t>20</w:t>
      </w:r>
      <w:r>
        <w:rPr>
          <w:rFonts w:hint="eastAsia" w:ascii="方正仿宋_GBK" w:hAnsi="方正仿宋_GBK" w:eastAsia="方正仿宋_GBK" w:cs="方正仿宋_GBK"/>
          <w:b w:val="0"/>
          <w:bCs w:val="0"/>
          <w:highlight w:val="none"/>
        </w:rPr>
        <w:t>分，得分率为</w:t>
      </w:r>
      <w:r>
        <w:rPr>
          <w:rFonts w:hint="eastAsia" w:ascii="方正仿宋_GBK" w:hAnsi="方正仿宋_GBK" w:eastAsia="方正仿宋_GBK" w:cs="方正仿宋_GBK"/>
          <w:b w:val="0"/>
          <w:bCs w:val="0"/>
          <w:highlight w:val="none"/>
          <w:lang w:val="en-US" w:eastAsia="zh-CN"/>
        </w:rPr>
        <w:t>100</w:t>
      </w:r>
      <w:r>
        <w:rPr>
          <w:rFonts w:hint="eastAsia" w:ascii="方正仿宋_GBK" w:hAnsi="方正仿宋_GBK" w:eastAsia="方正仿宋_GBK" w:cs="方正仿宋_GBK"/>
          <w:b w:val="0"/>
          <w:bCs w:val="0"/>
          <w:highlight w:val="none"/>
        </w:rPr>
        <w:t>%。具体打分情况详见：附件</w:t>
      </w:r>
      <w:r>
        <w:rPr>
          <w:rFonts w:hint="eastAsia" w:ascii="方正仿宋_GBK" w:hAnsi="方正仿宋_GBK" w:eastAsia="方正仿宋_GBK" w:cs="方正仿宋_GBK"/>
          <w:b w:val="0"/>
          <w:bCs w:val="0"/>
        </w:rPr>
        <w:t>1综合评分表</w:t>
      </w:r>
      <w:r>
        <w:rPr>
          <w:rFonts w:hint="eastAsia" w:ascii="方正仿宋_GBK" w:hAnsi="方正仿宋_GBK" w:eastAsia="方正仿宋_GBK" w:cs="方正仿宋_GBK"/>
          <w:b w:val="0"/>
          <w:bCs w:val="0"/>
          <w:lang w:eastAsia="zh-CN"/>
        </w:rPr>
        <w:t>。</w:t>
      </w:r>
    </w:p>
    <w:p>
      <w:pPr>
        <w:pStyle w:val="2"/>
        <w:keepNext w:val="0"/>
        <w:keepLines w:val="0"/>
        <w:pageBreakBefore w:val="0"/>
        <w:widowControl/>
        <w:kinsoku/>
        <w:wordWrap/>
        <w:overflowPunct/>
        <w:topLinePunct w:val="0"/>
        <w:autoSpaceDE/>
        <w:autoSpaceDN/>
        <w:bidi w:val="0"/>
        <w:adjustRightInd/>
        <w:snapToGrid/>
        <w:spacing w:before="0" w:after="0"/>
        <w:textAlignment w:val="auto"/>
        <w:rPr>
          <w:rFonts w:ascii="Times New Roman" w:hAnsi="Times New Roman" w:eastAsia="仿宋_GB2312"/>
          <w:sz w:val="30"/>
          <w:szCs w:val="30"/>
        </w:rPr>
      </w:pPr>
      <w:r>
        <w:rPr>
          <w:rFonts w:ascii="Times New Roman" w:hAnsi="Times New Roman" w:eastAsia="仿宋_GB2312"/>
          <w:sz w:val="30"/>
          <w:szCs w:val="30"/>
        </w:rPr>
        <w:t>表1综合评分表</w:t>
      </w:r>
    </w:p>
    <w:tbl>
      <w:tblPr>
        <w:tblStyle w:val="13"/>
        <w:tblW w:w="7583" w:type="dxa"/>
        <w:jc w:val="center"/>
        <w:tblLayout w:type="fixed"/>
        <w:tblCellMar>
          <w:top w:w="0" w:type="dxa"/>
          <w:left w:w="108" w:type="dxa"/>
          <w:bottom w:w="0" w:type="dxa"/>
          <w:right w:w="108" w:type="dxa"/>
        </w:tblCellMar>
      </w:tblPr>
      <w:tblGrid>
        <w:gridCol w:w="3137"/>
        <w:gridCol w:w="2168"/>
        <w:gridCol w:w="2278"/>
      </w:tblGrid>
      <w:tr>
        <w:tblPrEx>
          <w:tblCellMar>
            <w:top w:w="0" w:type="dxa"/>
            <w:left w:w="108" w:type="dxa"/>
            <w:bottom w:w="0" w:type="dxa"/>
            <w:right w:w="108" w:type="dxa"/>
          </w:tblCellMar>
        </w:tblPrEx>
        <w:trPr>
          <w:trHeight w:val="90" w:hRule="atLeast"/>
          <w:tblHeader/>
          <w:jc w:val="center"/>
        </w:trPr>
        <w:tc>
          <w:tcPr>
            <w:tcW w:w="3137" w:type="dxa"/>
            <w:tcBorders>
              <w:top w:val="single" w:color="auto" w:sz="4" w:space="0"/>
              <w:left w:val="single" w:color="auto" w:sz="4" w:space="0"/>
              <w:bottom w:val="single" w:color="auto" w:sz="4" w:space="0"/>
              <w:right w:val="single" w:color="auto" w:sz="4" w:space="0"/>
            </w:tcBorders>
            <w:shd w:val="clear" w:color="000000" w:fill="BEBEBE" w:themeFill="background1" w:themeFillShade="BF"/>
            <w:vAlign w:val="center"/>
          </w:tcPr>
          <w:p>
            <w:pPr>
              <w:jc w:val="center"/>
              <w:rPr>
                <w:b/>
                <w:bCs/>
                <w:color w:val="000000"/>
                <w:sz w:val="22"/>
              </w:rPr>
            </w:pPr>
            <w:r>
              <w:rPr>
                <w:rFonts w:hint="eastAsia"/>
                <w:b/>
                <w:bCs/>
                <w:color w:val="000000"/>
                <w:sz w:val="22"/>
              </w:rPr>
              <w:t>一级指标</w:t>
            </w:r>
          </w:p>
        </w:tc>
        <w:tc>
          <w:tcPr>
            <w:tcW w:w="2168" w:type="dxa"/>
            <w:tcBorders>
              <w:top w:val="single" w:color="auto" w:sz="4" w:space="0"/>
              <w:left w:val="nil"/>
              <w:bottom w:val="single" w:color="auto" w:sz="4" w:space="0"/>
              <w:right w:val="single" w:color="auto" w:sz="4" w:space="0"/>
            </w:tcBorders>
            <w:shd w:val="clear" w:color="000000" w:fill="BEBEBE" w:themeFill="background1" w:themeFillShade="BF"/>
            <w:vAlign w:val="center"/>
          </w:tcPr>
          <w:p>
            <w:pPr>
              <w:jc w:val="center"/>
              <w:rPr>
                <w:b/>
                <w:bCs/>
                <w:color w:val="000000"/>
                <w:sz w:val="22"/>
              </w:rPr>
            </w:pPr>
            <w:r>
              <w:rPr>
                <w:rFonts w:hint="eastAsia"/>
                <w:b/>
                <w:bCs/>
                <w:color w:val="000000"/>
                <w:sz w:val="22"/>
              </w:rPr>
              <w:t>权重分</w:t>
            </w:r>
          </w:p>
        </w:tc>
        <w:tc>
          <w:tcPr>
            <w:tcW w:w="2278" w:type="dxa"/>
            <w:tcBorders>
              <w:top w:val="single" w:color="auto" w:sz="4" w:space="0"/>
              <w:left w:val="nil"/>
              <w:bottom w:val="single" w:color="auto" w:sz="4" w:space="0"/>
              <w:right w:val="single" w:color="auto" w:sz="4" w:space="0"/>
            </w:tcBorders>
            <w:shd w:val="clear" w:color="000000" w:fill="BEBEBE" w:themeFill="background1" w:themeFillShade="BF"/>
            <w:vAlign w:val="center"/>
          </w:tcPr>
          <w:p>
            <w:pPr>
              <w:jc w:val="center"/>
              <w:rPr>
                <w:b/>
                <w:bCs/>
                <w:color w:val="000000"/>
                <w:sz w:val="22"/>
              </w:rPr>
            </w:pPr>
            <w:r>
              <w:rPr>
                <w:rFonts w:hint="eastAsia"/>
                <w:b/>
                <w:bCs/>
                <w:color w:val="000000"/>
                <w:sz w:val="22"/>
              </w:rPr>
              <w:t>得分</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项目决策</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lang w:val="en-US" w:eastAsia="zh-CN"/>
              </w:rPr>
            </w:pPr>
            <w:r>
              <w:rPr>
                <w:rFonts w:hint="eastAsia"/>
                <w:color w:val="000000"/>
                <w:sz w:val="22"/>
                <w:lang w:val="en-US" w:eastAsia="zh-CN"/>
              </w:rPr>
              <w:t>20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lang w:val="en-US" w:eastAsia="zh-CN"/>
              </w:rPr>
            </w:pPr>
            <w:r>
              <w:rPr>
                <w:rFonts w:hint="eastAsia"/>
                <w:lang w:val="en-US" w:eastAsia="zh-CN"/>
              </w:rPr>
              <w:t>20</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项目过程</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lang w:val="en-US" w:eastAsia="zh-CN"/>
              </w:rPr>
            </w:pPr>
            <w:r>
              <w:rPr>
                <w:rFonts w:hint="eastAsia"/>
                <w:color w:val="000000"/>
                <w:sz w:val="22"/>
                <w:lang w:val="en-US" w:eastAsia="zh-CN"/>
              </w:rPr>
              <w:t>20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lang w:val="en-US" w:eastAsia="zh-CN"/>
              </w:rPr>
            </w:pPr>
            <w:r>
              <w:rPr>
                <w:rFonts w:hint="eastAsia"/>
                <w:color w:val="000000"/>
                <w:sz w:val="22"/>
                <w:lang w:val="en-US" w:eastAsia="zh-CN"/>
              </w:rPr>
              <w:t>20</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项目产出</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lang w:val="en-US" w:eastAsia="zh-CN"/>
              </w:rPr>
            </w:pPr>
            <w:r>
              <w:rPr>
                <w:rFonts w:hint="eastAsia"/>
                <w:color w:val="000000"/>
                <w:sz w:val="22"/>
                <w:lang w:val="en-US" w:eastAsia="zh-CN"/>
              </w:rPr>
              <w:t>40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lang w:val="en-US" w:eastAsia="zh-CN"/>
              </w:rPr>
            </w:pPr>
            <w:r>
              <w:rPr>
                <w:rFonts w:hint="eastAsia"/>
                <w:color w:val="000000"/>
                <w:sz w:val="22"/>
                <w:lang w:val="en-US" w:eastAsia="zh-CN"/>
              </w:rPr>
              <w:t>40</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项目效益</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lang w:val="en-US" w:eastAsia="zh-CN"/>
              </w:rPr>
            </w:pPr>
            <w:r>
              <w:rPr>
                <w:rFonts w:hint="eastAsia"/>
                <w:color w:val="000000"/>
                <w:sz w:val="22"/>
                <w:lang w:val="en-US" w:eastAsia="zh-CN"/>
              </w:rPr>
              <w:t>20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lang w:val="en-US" w:eastAsia="zh-CN"/>
              </w:rPr>
            </w:pPr>
            <w:r>
              <w:rPr>
                <w:rFonts w:hint="eastAsia"/>
                <w:color w:val="000000"/>
                <w:sz w:val="22"/>
                <w:lang w:val="en-US" w:eastAsia="zh-CN"/>
              </w:rPr>
              <w:t>20</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rFonts w:cs="宋体"/>
                <w:b/>
                <w:bCs/>
                <w:color w:val="000000"/>
                <w:sz w:val="22"/>
              </w:rPr>
            </w:pPr>
            <w:r>
              <w:rPr>
                <w:rFonts w:hint="eastAsia" w:cs="宋体"/>
                <w:b/>
                <w:bCs/>
                <w:color w:val="000000"/>
                <w:sz w:val="22"/>
              </w:rPr>
              <w:t>合计</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eastAsia="宋体"/>
                <w:b/>
                <w:bCs/>
                <w:color w:val="000000"/>
                <w:sz w:val="22"/>
                <w:lang w:val="en-US" w:eastAsia="zh-CN"/>
              </w:rPr>
            </w:pPr>
            <w:r>
              <w:rPr>
                <w:rFonts w:hint="eastAsia"/>
                <w:b/>
                <w:bCs/>
                <w:color w:val="000000"/>
                <w:sz w:val="22"/>
                <w:lang w:val="en-US" w:eastAsia="zh-CN"/>
              </w:rPr>
              <w:t>100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eastAsia="宋体"/>
                <w:b/>
                <w:bCs/>
                <w:color w:val="000000"/>
                <w:sz w:val="22"/>
                <w:lang w:val="en-US" w:eastAsia="zh-CN"/>
              </w:rPr>
            </w:pPr>
            <w:r>
              <w:rPr>
                <w:rFonts w:hint="eastAsia"/>
                <w:b/>
                <w:bCs/>
                <w:color w:val="000000"/>
                <w:sz w:val="22"/>
                <w:lang w:val="en-US" w:eastAsia="zh-CN"/>
              </w:rPr>
              <w:t>100</w:t>
            </w:r>
          </w:p>
        </w:tc>
      </w:tr>
    </w:tbl>
    <w:p>
      <w:pPr>
        <w:spacing w:line="560" w:lineRule="exact"/>
        <w:ind w:firstLine="640" w:firstLineChars="200"/>
        <w:rPr>
          <w:rFonts w:eastAsia="黑体"/>
          <w:sz w:val="32"/>
          <w:szCs w:val="32"/>
        </w:rPr>
      </w:pPr>
      <w:r>
        <w:rPr>
          <w:rFonts w:eastAsia="黑体"/>
          <w:sz w:val="32"/>
          <w:szCs w:val="32"/>
        </w:rPr>
        <w:t>四、绩效评价指标分析</w:t>
      </w:r>
    </w:p>
    <w:p>
      <w:pPr>
        <w:pStyle w:val="2"/>
        <w:spacing w:before="0" w:after="0" w:line="560" w:lineRule="exact"/>
        <w:ind w:firstLine="642" w:firstLineChars="200"/>
        <w:jc w:val="both"/>
        <w:rPr>
          <w:rFonts w:ascii="Times New Roman" w:hAnsi="Times New Roman" w:eastAsia="楷体_GB2312"/>
        </w:rPr>
      </w:pPr>
      <w:r>
        <w:rPr>
          <w:rFonts w:ascii="Times New Roman" w:hAnsi="Times New Roman" w:eastAsia="楷体_GB2312"/>
        </w:rPr>
        <w:t>（一）项目决策情况</w:t>
      </w:r>
    </w:p>
    <w:p>
      <w:pPr>
        <w:shd w:val="clear"/>
        <w:spacing w:line="600" w:lineRule="exact"/>
        <w:ind w:firstLine="600" w:firstLineChars="200"/>
        <w:outlineLvl w:val="0"/>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sz w:val="30"/>
          <w:szCs w:val="30"/>
          <w:highlight w:val="none"/>
          <w:lang w:val="en-US" w:eastAsia="zh-CN"/>
        </w:rPr>
        <w:t>项目决策类指标包括项目立项、绩效目标和资金投入三方面的内容，由6个三级指标构成，权重分值为20分</w:t>
      </w:r>
      <w:r>
        <w:rPr>
          <w:rFonts w:hint="eastAsia" w:ascii="仿宋_GB2312" w:hAnsi="仿宋_GB2312" w:eastAsia="仿宋_GB2312" w:cs="仿宋_GB2312"/>
          <w:color w:val="auto"/>
          <w:sz w:val="30"/>
          <w:szCs w:val="30"/>
          <w:highlight w:val="none"/>
          <w:lang w:val="en-US" w:eastAsia="zh-CN"/>
        </w:rPr>
        <w:t>，实际得分20分，得分率为100%。</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1.项目立项</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（1）立项依据充分性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项目立项符合国家相关法律法规及发展政策，符合行业规划要求，围绕本年度工作重点和工作计划制定经费预算，属于公共财政支持范围。本项目与部门内部其他相关项目不重复。部门发展规划及职能文件等归档完整。</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（2）立项程序规范性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项目申请、设立过程符合相关要求，</w:t>
      </w:r>
      <w:r>
        <w:rPr>
          <w:rFonts w:hint="eastAsia" w:ascii="仿宋_GB2312" w:hAnsi="仿宋_GB2312" w:eastAsia="仿宋_GB2312" w:cs="仿宋_GB2312"/>
          <w:sz w:val="32"/>
          <w:szCs w:val="32"/>
          <w:lang w:eastAsia="zh-Hans"/>
        </w:rPr>
        <w:t>严格按照审批流程准备符合要求的文件、材料；</w:t>
      </w:r>
      <w:r>
        <w:rPr>
          <w:rFonts w:hint="eastAsia" w:ascii="仿宋_GB2312" w:hAnsi="仿宋_GB2312" w:eastAsia="仿宋_GB2312" w:cs="仿宋_GB2312"/>
          <w:sz w:val="32"/>
          <w:szCs w:val="32"/>
          <w:lang w:val="en-US" w:eastAsia="zh-CN"/>
        </w:rPr>
        <w:t>根据决算依据编制工作计划和经费预算，经过与部门项目分管领导沟通、筛选确定经费预算计划，确定最终预算方案。项目的审批文件、材料符合相关要求，项目事前经过必要的可行性研究、绩效评估、集体决策，保障了程序的规范性。</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2.绩效目标</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（1）绩效目标合理性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Hans"/>
        </w:rPr>
        <w:t>年初结合实际工作内容</w:t>
      </w:r>
      <w:r>
        <w:rPr>
          <w:rFonts w:hint="eastAsia" w:ascii="仿宋_GB2312" w:hAnsi="仿宋_GB2312" w:eastAsia="仿宋_GB2312" w:cs="仿宋_GB2312"/>
          <w:sz w:val="32"/>
          <w:szCs w:val="32"/>
          <w:lang w:val="en-US" w:eastAsia="zh-CN"/>
        </w:rPr>
        <w:t>设定绩效目标</w:t>
      </w:r>
      <w:r>
        <w:rPr>
          <w:rFonts w:hint="eastAsia" w:ascii="仿宋_GB2312" w:hAnsi="仿宋_GB2312" w:eastAsia="仿宋_GB2312" w:cs="仿宋_GB2312"/>
          <w:sz w:val="32"/>
          <w:szCs w:val="32"/>
          <w:lang w:val="en-US" w:eastAsia="zh-Hans"/>
        </w:rPr>
        <w:t>，绩效目标</w:t>
      </w:r>
      <w:r>
        <w:rPr>
          <w:rFonts w:hint="eastAsia" w:ascii="仿宋_GB2312" w:hAnsi="仿宋_GB2312" w:eastAsia="仿宋_GB2312" w:cs="仿宋_GB2312"/>
          <w:sz w:val="32"/>
          <w:szCs w:val="32"/>
          <w:lang w:val="en-US" w:eastAsia="zh-CN"/>
        </w:rPr>
        <w:t>依据充分，符合客观实际，能反映和考核项目绩效目标与项目实施的相符情况，依据绩效目标设定的绩效指标清晰、细化、可衡量，能反映和考核项目绩效目标的明细化情况。绩效目标表经过审核，绩效目标与实际工作内容具有相关性，预算与确定的项目投资额相匹配，对项目任务进行了详细分解。项目预期产出效益及效果符合正常的业绩水平。</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（2）绩效指标明确性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项目设置了明确的预期产出效益和效果，将绩效目标细化分解为具体的绩效指标，绩效目标与项目目标任务数相对应，绩效目标设定的绩效指标清晰、细化、可衡量。</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3.资金投入</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（1）预算编制科学性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预算编制经过科学论证，提供充分的测算依据佐证资料，预算内容与项目内容相匹配。项目投资额与工作任务相匹配。</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（2）资金分配合理性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资金分配额度与项目单位实际工作内容相适应，资金分配额度合理，资金分配依据充分。</w:t>
      </w:r>
    </w:p>
    <w:p>
      <w:pPr>
        <w:pStyle w:val="2"/>
        <w:numPr>
          <w:ilvl w:val="0"/>
          <w:numId w:val="3"/>
        </w:numPr>
        <w:spacing w:before="0" w:after="0" w:line="560" w:lineRule="exact"/>
        <w:ind w:firstLine="642" w:firstLineChars="200"/>
        <w:jc w:val="both"/>
        <w:rPr>
          <w:rFonts w:ascii="楷体" w:hAnsi="楷体" w:eastAsia="楷体" w:cs="楷体"/>
        </w:rPr>
      </w:pPr>
      <w:r>
        <w:rPr>
          <w:rFonts w:hint="eastAsia" w:ascii="楷体" w:hAnsi="楷体" w:eastAsia="楷体" w:cs="楷体"/>
        </w:rPr>
        <w:t>项目过程情况</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项目过程类指标包括资金管理和组织实施两方面的内容，由</w:t>
      </w:r>
      <w:r>
        <w:rPr>
          <w:rFonts w:hint="eastAsia" w:ascii="仿宋_GB2312" w:hAnsi="仿宋_GB2312" w:eastAsia="仿宋_GB2312" w:cs="仿宋_GB2312"/>
          <w:sz w:val="32"/>
          <w:szCs w:val="32"/>
          <w:highlight w:val="none"/>
          <w:lang w:val="en-US" w:eastAsia="zh-CN"/>
        </w:rPr>
        <w:t>5个</w:t>
      </w:r>
      <w:r>
        <w:rPr>
          <w:rFonts w:hint="eastAsia" w:ascii="仿宋_GB2312" w:hAnsi="仿宋_GB2312" w:eastAsia="仿宋_GB2312" w:cs="仿宋_GB2312"/>
          <w:sz w:val="32"/>
          <w:szCs w:val="32"/>
          <w:lang w:val="en-US" w:eastAsia="zh-CN"/>
        </w:rPr>
        <w:t>三级指标构成，权重分值为20分，</w:t>
      </w:r>
      <w:r>
        <w:rPr>
          <w:rFonts w:hint="eastAsia" w:ascii="仿宋_GB2312" w:hAnsi="仿宋_GB2312" w:eastAsia="仿宋_GB2312" w:cs="仿宋_GB2312"/>
          <w:sz w:val="32"/>
          <w:szCs w:val="32"/>
          <w:highlight w:val="none"/>
          <w:lang w:val="en-US" w:eastAsia="zh-CN"/>
        </w:rPr>
        <w:t>实际得分20分，得分率为100%。</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项目资金使用符合相关的财务管理制度规定，能够反映和考核项目资金的规范运行情况；项目实施单位的财务和业务管理制度健全，能够反映和考核财务和业务管理制度对项目顺利实施的保障情况。</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1.资金管理</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（1）资金到位率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本项目总投资350万元，财政资金及时足额到位，到位率100%，预算资金按计划进度执行。</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（2）预算执行率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预算编制较为详细，项目资金支出总体能够按照预算执行，预算资金支出350万元，预算执行率为100%。</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（3）资金使用合规性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严格按照预期绩效目标执行预算资金。制定了相关的制度和管理规定，对项目经费使用进行规范管理，财务制度健全、执行严格。资金的拨付有完整的审批程序和手续，在项目资金拨付和使用过程中，为确保项目资金的安全性，提高项目资金使用效率，严格遵循项目资金的拨付程序，认真审核项目实施各阶段的相关材料和手续，根据项目实施进展情况拨付资金。资金使用符合该项目的立项批复。资金不存在截留、挤占、挪用、虚列支出等情况。</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2.组织实施</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（1）管理制度健全性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制定了相关管理办法，对财政资金进行严格管理，做到专款专用，项目资金使用符合相关的财务管理制度规定，能够反映和考核项目资金的规范运行情况；项目实施单位的财务和业务管理制度健全，能够反映和考核财务和业务管理制度对项目顺利实施的保障情况。</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（2）制度执行有效性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对资金使用的合法合规性进行监督，年末对资金使用效果进行评价。项目管理、实施人员落实到位，有效按照计划执行。项目执行情况等资料齐全，项目相关手续完备，及时进行归档。</w:t>
      </w:r>
    </w:p>
    <w:p>
      <w:pPr>
        <w:pStyle w:val="11"/>
        <w:numPr>
          <w:ilvl w:val="0"/>
          <w:numId w:val="3"/>
        </w:numPr>
        <w:spacing w:line="560" w:lineRule="exact"/>
        <w:ind w:firstLine="643"/>
        <w:rPr>
          <w:rFonts w:eastAsia="楷体_GB2312"/>
          <w:b/>
          <w:bCs/>
          <w:sz w:val="32"/>
          <w:szCs w:val="32"/>
        </w:rPr>
      </w:pPr>
      <w:r>
        <w:rPr>
          <w:rFonts w:eastAsia="楷体_GB2312"/>
          <w:b/>
          <w:bCs/>
          <w:sz w:val="32"/>
          <w:szCs w:val="32"/>
        </w:rPr>
        <w:t>项目产出</w:t>
      </w:r>
      <w:r>
        <w:rPr>
          <w:rFonts w:hint="eastAsia" w:eastAsia="楷体_GB2312"/>
          <w:b/>
          <w:bCs/>
          <w:sz w:val="32"/>
          <w:szCs w:val="32"/>
          <w:lang w:val="en-US" w:eastAsia="zh-CN"/>
        </w:rPr>
        <w:t>情况</w:t>
      </w:r>
    </w:p>
    <w:p>
      <w:pPr>
        <w:shd w:val="clear"/>
        <w:spacing w:line="600" w:lineRule="exact"/>
        <w:ind w:firstLine="640" w:firstLineChars="200"/>
        <w:outlineLvl w:val="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项目产出类指标包括产出数量、产出质量、产出时效、产</w:t>
      </w:r>
      <w:r>
        <w:rPr>
          <w:rFonts w:hint="eastAsia" w:ascii="仿宋_GB2312" w:hAnsi="仿宋_GB2312" w:eastAsia="仿宋_GB2312" w:cs="仿宋_GB2312"/>
          <w:sz w:val="32"/>
          <w:szCs w:val="32"/>
          <w:highlight w:val="none"/>
          <w:lang w:val="en-US" w:eastAsia="zh-CN"/>
        </w:rPr>
        <w:t>出成本四方面的内容，由8个三级指标构成，权重分为40分，实际得分40分，得分率为100%。具体产出指标完成情况如下：</w:t>
      </w:r>
    </w:p>
    <w:p>
      <w:pPr>
        <w:shd w:val="clear"/>
        <w:spacing w:line="600" w:lineRule="exact"/>
        <w:ind w:firstLine="640" w:firstLineChars="200"/>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 1 \* GB3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①</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数量指标：</w:t>
      </w:r>
    </w:p>
    <w:p>
      <w:pPr>
        <w:shd w:val="clear"/>
        <w:spacing w:line="600" w:lineRule="exact"/>
        <w:ind w:firstLine="640" w:firstLineChars="200"/>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指标1：公教活动场次，指标值：</w:t>
      </w:r>
      <w:r>
        <w:rPr>
          <w:rFonts w:hint="eastAsia" w:ascii="仿宋_GB2312" w:hAnsi="仿宋_GB2312" w:eastAsia="仿宋_GB2312" w:cs="仿宋_GB2312"/>
          <w:sz w:val="32"/>
          <w:szCs w:val="32"/>
          <w:highlight w:val="none"/>
          <w:lang w:val="en-US" w:eastAsia="zh-CN"/>
        </w:rPr>
        <w:t>10场次</w:t>
      </w:r>
      <w:r>
        <w:rPr>
          <w:rFonts w:hint="eastAsia" w:ascii="仿宋_GB2312" w:hAnsi="仿宋_GB2312" w:eastAsia="仿宋_GB2312" w:cs="仿宋_GB2312"/>
          <w:sz w:val="32"/>
          <w:szCs w:val="32"/>
          <w:highlight w:val="none"/>
        </w:rPr>
        <w:t>，实际完成值： 1</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场次，指标完成率</w:t>
      </w:r>
      <w:r>
        <w:rPr>
          <w:rFonts w:hint="eastAsia" w:ascii="仿宋_GB2312" w:hAnsi="仿宋_GB2312" w:eastAsia="仿宋_GB2312" w:cs="仿宋_GB2312"/>
          <w:sz w:val="32"/>
          <w:szCs w:val="32"/>
          <w:highlight w:val="none"/>
          <w:lang w:val="en-US" w:eastAsia="zh-CN"/>
        </w:rPr>
        <w:t>130</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eastAsia="zh-CN"/>
        </w:rPr>
        <w:t>偏差原因：线下活动11场，线上活动2场,提高年度指标值。</w:t>
      </w:r>
    </w:p>
    <w:p>
      <w:pPr>
        <w:shd w:val="clear"/>
        <w:spacing w:line="600" w:lineRule="exact"/>
        <w:ind w:firstLine="640" w:firstLineChars="200"/>
        <w:outlineLvl w:val="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指标2：举办展览场次，指标值：</w:t>
      </w:r>
      <w:r>
        <w:rPr>
          <w:rFonts w:hint="eastAsia" w:ascii="仿宋_GB2312" w:hAnsi="仿宋_GB2312" w:eastAsia="仿宋_GB2312" w:cs="仿宋_GB2312"/>
          <w:sz w:val="32"/>
          <w:szCs w:val="32"/>
          <w:highlight w:val="none"/>
          <w:lang w:val="en-US" w:eastAsia="zh-CN"/>
        </w:rPr>
        <w:t>6场次</w:t>
      </w:r>
      <w:r>
        <w:rPr>
          <w:rFonts w:hint="eastAsia" w:ascii="仿宋_GB2312" w:hAnsi="仿宋_GB2312" w:eastAsia="仿宋_GB2312" w:cs="仿宋_GB2312"/>
          <w:sz w:val="32"/>
          <w:szCs w:val="32"/>
          <w:highlight w:val="none"/>
        </w:rPr>
        <w:t xml:space="preserve">，实际完成值： </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场次，指标完成率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指标</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：参观人次，指标值：</w:t>
      </w:r>
      <w:r>
        <w:rPr>
          <w:rFonts w:hint="eastAsia" w:ascii="仿宋_GB2312" w:hAnsi="仿宋_GB2312" w:eastAsia="仿宋_GB2312" w:cs="仿宋_GB2312"/>
          <w:sz w:val="32"/>
          <w:szCs w:val="32"/>
          <w:highlight w:val="none"/>
          <w:lang w:val="en-US" w:eastAsia="zh-CN"/>
        </w:rPr>
        <w:t>15万人次</w:t>
      </w:r>
      <w:r>
        <w:rPr>
          <w:rFonts w:hint="eastAsia" w:ascii="仿宋_GB2312" w:hAnsi="仿宋_GB2312" w:eastAsia="仿宋_GB2312" w:cs="仿宋_GB2312"/>
          <w:sz w:val="32"/>
          <w:szCs w:val="32"/>
          <w:highlight w:val="none"/>
        </w:rPr>
        <w:t>，实际完成值：</w:t>
      </w:r>
      <w:r>
        <w:rPr>
          <w:rFonts w:hint="eastAsia" w:ascii="仿宋_GB2312" w:hAnsi="仿宋_GB2312" w:eastAsia="仿宋_GB2312" w:cs="仿宋_GB2312"/>
          <w:sz w:val="32"/>
          <w:szCs w:val="32"/>
          <w:highlight w:val="none"/>
          <w:lang w:val="en-US" w:eastAsia="zh-CN"/>
        </w:rPr>
        <w:t>17万人次</w:t>
      </w:r>
      <w:r>
        <w:rPr>
          <w:rFonts w:hint="eastAsia" w:ascii="仿宋_GB2312" w:hAnsi="仿宋_GB2312" w:eastAsia="仿宋_GB2312" w:cs="仿宋_GB2312"/>
          <w:sz w:val="32"/>
          <w:szCs w:val="32"/>
          <w:highlight w:val="none"/>
        </w:rPr>
        <w:t>场次，指标完成率</w:t>
      </w:r>
      <w:r>
        <w:rPr>
          <w:rFonts w:hint="eastAsia" w:ascii="仿宋_GB2312" w:hAnsi="仿宋_GB2312" w:eastAsia="仿宋_GB2312" w:cs="仿宋_GB2312"/>
          <w:sz w:val="32"/>
          <w:szCs w:val="32"/>
          <w:highlight w:val="none"/>
          <w:lang w:val="en-US" w:eastAsia="zh-CN"/>
        </w:rPr>
        <w:t>113.3</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指标</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：公众号信息发布，指标值：</w:t>
      </w:r>
      <w:r>
        <w:rPr>
          <w:rFonts w:hint="eastAsia" w:ascii="仿宋_GB2312" w:hAnsi="仿宋_GB2312" w:eastAsia="仿宋_GB2312" w:cs="仿宋_GB2312"/>
          <w:sz w:val="32"/>
          <w:szCs w:val="32"/>
          <w:highlight w:val="none"/>
          <w:lang w:val="en-US" w:eastAsia="zh-CN"/>
        </w:rPr>
        <w:t>30篇</w:t>
      </w:r>
      <w:r>
        <w:rPr>
          <w:rFonts w:hint="eastAsia" w:ascii="仿宋_GB2312" w:hAnsi="仿宋_GB2312" w:eastAsia="仿宋_GB2312" w:cs="仿宋_GB2312"/>
          <w:sz w:val="32"/>
          <w:szCs w:val="32"/>
          <w:highlight w:val="none"/>
        </w:rPr>
        <w:t>，实际完成值：</w:t>
      </w:r>
      <w:r>
        <w:rPr>
          <w:rFonts w:hint="eastAsia" w:ascii="仿宋_GB2312" w:hAnsi="仿宋_GB2312" w:eastAsia="仿宋_GB2312" w:cs="仿宋_GB2312"/>
          <w:sz w:val="32"/>
          <w:szCs w:val="32"/>
          <w:highlight w:val="none"/>
          <w:lang w:val="en-US" w:eastAsia="zh-CN"/>
        </w:rPr>
        <w:t>64篇</w:t>
      </w:r>
      <w:r>
        <w:rPr>
          <w:rFonts w:hint="eastAsia" w:ascii="仿宋_GB2312" w:hAnsi="仿宋_GB2312" w:eastAsia="仿宋_GB2312" w:cs="仿宋_GB2312"/>
          <w:sz w:val="32"/>
          <w:szCs w:val="32"/>
          <w:highlight w:val="none"/>
        </w:rPr>
        <w:t>，指标完成率</w:t>
      </w:r>
      <w:r>
        <w:rPr>
          <w:rFonts w:hint="eastAsia" w:ascii="仿宋_GB2312" w:hAnsi="仿宋_GB2312" w:eastAsia="仿宋_GB2312" w:cs="仿宋_GB2312"/>
          <w:sz w:val="32"/>
          <w:szCs w:val="32"/>
          <w:highlight w:val="none"/>
          <w:lang w:val="en-US" w:eastAsia="zh-CN"/>
        </w:rPr>
        <w:t>213.3</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eastAsia="zh-CN"/>
        </w:rPr>
        <w:t>，偏差原因：线上看展17期，公共教育活动回顾47篇。</w:t>
      </w:r>
    </w:p>
    <w:p>
      <w:pPr>
        <w:shd w:val="clear"/>
        <w:spacing w:line="600" w:lineRule="exact"/>
        <w:ind w:firstLine="640" w:firstLineChars="200"/>
        <w:outlineLvl w:val="0"/>
        <w:rPr>
          <w:rFonts w:hint="default"/>
          <w:lang w:val="en-US" w:eastAsia="zh-CN"/>
        </w:rPr>
      </w:pPr>
      <w:r>
        <w:rPr>
          <w:rFonts w:hint="eastAsia" w:ascii="仿宋_GB2312" w:hAnsi="仿宋_GB2312" w:eastAsia="仿宋_GB2312" w:cs="仿宋_GB2312"/>
          <w:sz w:val="32"/>
          <w:szCs w:val="32"/>
          <w:highlight w:val="none"/>
        </w:rPr>
        <w:t>指标</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：提供公共文化服务，指标值：</w:t>
      </w:r>
      <w:r>
        <w:rPr>
          <w:rFonts w:hint="eastAsia" w:ascii="仿宋_GB2312" w:hAnsi="仿宋_GB2312" w:eastAsia="仿宋_GB2312" w:cs="仿宋_GB2312"/>
          <w:sz w:val="32"/>
          <w:szCs w:val="32"/>
          <w:highlight w:val="none"/>
          <w:lang w:val="en-US" w:eastAsia="zh-CN"/>
        </w:rPr>
        <w:t>200天</w:t>
      </w:r>
      <w:r>
        <w:rPr>
          <w:rFonts w:hint="eastAsia" w:ascii="仿宋_GB2312" w:hAnsi="仿宋_GB2312" w:eastAsia="仿宋_GB2312" w:cs="仿宋_GB2312"/>
          <w:sz w:val="32"/>
          <w:szCs w:val="32"/>
          <w:highlight w:val="none"/>
        </w:rPr>
        <w:t>，实际完成值：</w:t>
      </w:r>
      <w:r>
        <w:rPr>
          <w:rFonts w:hint="eastAsia" w:ascii="仿宋_GB2312" w:hAnsi="仿宋_GB2312" w:eastAsia="仿宋_GB2312" w:cs="仿宋_GB2312"/>
          <w:sz w:val="32"/>
          <w:szCs w:val="32"/>
          <w:highlight w:val="none"/>
          <w:lang w:val="en-US" w:eastAsia="zh-CN"/>
        </w:rPr>
        <w:t>209天</w:t>
      </w:r>
      <w:r>
        <w:rPr>
          <w:rFonts w:hint="eastAsia" w:ascii="仿宋_GB2312" w:hAnsi="仿宋_GB2312" w:eastAsia="仿宋_GB2312" w:cs="仿宋_GB2312"/>
          <w:sz w:val="32"/>
          <w:szCs w:val="32"/>
          <w:highlight w:val="none"/>
        </w:rPr>
        <w:t>，指标完成率</w:t>
      </w:r>
      <w:r>
        <w:rPr>
          <w:rFonts w:hint="eastAsia" w:ascii="仿宋_GB2312" w:hAnsi="仿宋_GB2312" w:eastAsia="仿宋_GB2312" w:cs="仿宋_GB2312"/>
          <w:sz w:val="32"/>
          <w:szCs w:val="32"/>
          <w:highlight w:val="none"/>
          <w:lang w:val="en-US" w:eastAsia="zh-CN"/>
        </w:rPr>
        <w:t>104.5</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 2 \* GB3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②</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时效指标：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 xml:space="preserve">指标1：项目按期完成率，指标值： </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   ，实际完成值：</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 xml:space="preserve">% ，指标完成率 </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 3 \* GB3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③</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成本指标：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 xml:space="preserve">指标1：免费开放运行相关费用，指标值： </w:t>
      </w:r>
      <w:r>
        <w:rPr>
          <w:rFonts w:hint="eastAsia" w:ascii="仿宋_GB2312" w:hAnsi="仿宋_GB2312" w:eastAsia="仿宋_GB2312" w:cs="仿宋_GB2312"/>
          <w:sz w:val="32"/>
          <w:szCs w:val="32"/>
          <w:highlight w:val="none"/>
          <w:lang w:val="en-US" w:eastAsia="zh-CN"/>
        </w:rPr>
        <w:t>99.6万元</w:t>
      </w:r>
      <w:r>
        <w:rPr>
          <w:rFonts w:hint="eastAsia" w:ascii="仿宋_GB2312" w:hAnsi="仿宋_GB2312" w:eastAsia="仿宋_GB2312" w:cs="仿宋_GB2312"/>
          <w:sz w:val="32"/>
          <w:szCs w:val="32"/>
          <w:highlight w:val="none"/>
        </w:rPr>
        <w:t xml:space="preserve"> ，实际完成值：</w:t>
      </w:r>
      <w:r>
        <w:rPr>
          <w:rFonts w:hint="eastAsia" w:ascii="仿宋_GB2312" w:hAnsi="仿宋_GB2312" w:eastAsia="仿宋_GB2312" w:cs="仿宋_GB2312"/>
          <w:sz w:val="32"/>
          <w:szCs w:val="32"/>
          <w:highlight w:val="none"/>
          <w:lang w:val="en-US" w:eastAsia="zh-CN"/>
        </w:rPr>
        <w:t>99.6万元</w:t>
      </w:r>
      <w:r>
        <w:rPr>
          <w:rFonts w:hint="eastAsia" w:ascii="仿宋_GB2312" w:hAnsi="仿宋_GB2312" w:eastAsia="仿宋_GB2312" w:cs="仿宋_GB2312"/>
          <w:sz w:val="32"/>
          <w:szCs w:val="32"/>
          <w:highlight w:val="none"/>
        </w:rPr>
        <w:t xml:space="preserve"> ，指标完成率  </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指标</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 xml:space="preserve">：展览策划筹备布展开展艺术教育费用，指标值： </w:t>
      </w:r>
      <w:r>
        <w:rPr>
          <w:rFonts w:hint="eastAsia" w:ascii="仿宋_GB2312" w:hAnsi="仿宋_GB2312" w:eastAsia="仿宋_GB2312" w:cs="仿宋_GB2312"/>
          <w:sz w:val="32"/>
          <w:szCs w:val="32"/>
          <w:highlight w:val="none"/>
          <w:lang w:val="en-US" w:eastAsia="zh-CN"/>
        </w:rPr>
        <w:t>250.4万元</w:t>
      </w:r>
      <w:r>
        <w:rPr>
          <w:rFonts w:hint="eastAsia" w:ascii="仿宋_GB2312" w:hAnsi="仿宋_GB2312" w:eastAsia="仿宋_GB2312" w:cs="仿宋_GB2312"/>
          <w:sz w:val="32"/>
          <w:szCs w:val="32"/>
          <w:highlight w:val="none"/>
        </w:rPr>
        <w:t xml:space="preserve"> ，实际完成值：</w:t>
      </w:r>
      <w:r>
        <w:rPr>
          <w:rFonts w:hint="eastAsia" w:ascii="仿宋_GB2312" w:hAnsi="仿宋_GB2312" w:eastAsia="仿宋_GB2312" w:cs="仿宋_GB2312"/>
          <w:sz w:val="32"/>
          <w:szCs w:val="32"/>
          <w:highlight w:val="none"/>
          <w:lang w:val="en-US" w:eastAsia="zh-CN"/>
        </w:rPr>
        <w:t>250.4万元</w:t>
      </w:r>
      <w:r>
        <w:rPr>
          <w:rFonts w:hint="eastAsia" w:ascii="仿宋_GB2312" w:hAnsi="仿宋_GB2312" w:eastAsia="仿宋_GB2312" w:cs="仿宋_GB2312"/>
          <w:sz w:val="32"/>
          <w:szCs w:val="32"/>
          <w:highlight w:val="none"/>
        </w:rPr>
        <w:t xml:space="preserve"> ，指标完成率  </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eastAsia="zh-CN"/>
        </w:rPr>
        <w:t>。</w:t>
      </w:r>
    </w:p>
    <w:p>
      <w:pPr>
        <w:pStyle w:val="2"/>
        <w:rPr>
          <w:rFonts w:hint="default"/>
          <w:lang w:val="en-US" w:eastAsia="zh-CN"/>
        </w:rPr>
      </w:pPr>
    </w:p>
    <w:p>
      <w:pPr>
        <w:pStyle w:val="11"/>
        <w:numPr>
          <w:ilvl w:val="0"/>
          <w:numId w:val="3"/>
        </w:numPr>
        <w:spacing w:line="560" w:lineRule="exact"/>
        <w:ind w:firstLine="643"/>
        <w:rPr>
          <w:rFonts w:hint="eastAsia"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项目效益情况</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项目效益类指标包括项目实施效益和满意度两方面的内容，由2个三级指标构成，权重分为20分，实际得分20分，得分率为100%。具体效益指标及满</w:t>
      </w:r>
      <w:r>
        <w:rPr>
          <w:rFonts w:hint="eastAsia" w:ascii="仿宋_GB2312" w:hAnsi="仿宋_GB2312" w:eastAsia="仿宋_GB2312" w:cs="仿宋_GB2312"/>
          <w:sz w:val="32"/>
          <w:szCs w:val="32"/>
          <w:lang w:val="en-US" w:eastAsia="zh-CN"/>
        </w:rPr>
        <w:t>意度指标完成情况如下：</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1.实施效益</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①</w:t>
      </w:r>
      <w:r>
        <w:rPr>
          <w:rFonts w:hint="eastAsia" w:ascii="仿宋_GB2312" w:hAnsi="仿宋_GB2312" w:eastAsia="仿宋_GB2312" w:cs="仿宋_GB2312"/>
          <w:sz w:val="32"/>
          <w:szCs w:val="32"/>
          <w:highlight w:val="none"/>
        </w:rPr>
        <w:t>社会效益指标</w:t>
      </w:r>
      <w:r>
        <w:rPr>
          <w:rFonts w:hint="eastAsia" w:ascii="仿宋_GB2312" w:hAnsi="仿宋_GB2312" w:eastAsia="仿宋_GB2312" w:cs="仿宋_GB2312"/>
          <w:sz w:val="32"/>
          <w:szCs w:val="32"/>
          <w:highlight w:val="none"/>
          <w:lang w:val="en-US" w:eastAsia="zh-CN"/>
        </w:rPr>
        <w:t>;</w:t>
      </w:r>
    </w:p>
    <w:p>
      <w:pPr>
        <w:shd w:val="clear"/>
        <w:spacing w:line="600" w:lineRule="exact"/>
        <w:ind w:firstLine="640" w:firstLineChars="200"/>
        <w:outlineLvl w:val="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指标1：保障社会审美需求，指标值：有效保障 ，实际完成值：</w:t>
      </w:r>
      <w:r>
        <w:rPr>
          <w:rFonts w:hint="eastAsia" w:ascii="仿宋_GB2312" w:hAnsi="仿宋_GB2312" w:eastAsia="仿宋_GB2312" w:cs="仿宋_GB2312"/>
          <w:sz w:val="32"/>
          <w:szCs w:val="32"/>
          <w:highlight w:val="none"/>
          <w:lang w:val="en-US" w:eastAsia="zh-CN"/>
        </w:rPr>
        <w:t>有效保障</w:t>
      </w:r>
      <w:r>
        <w:rPr>
          <w:rFonts w:hint="eastAsia" w:ascii="仿宋_GB2312" w:hAnsi="仿宋_GB2312" w:eastAsia="仿宋_GB2312" w:cs="仿宋_GB2312"/>
          <w:sz w:val="32"/>
          <w:szCs w:val="32"/>
          <w:highlight w:val="none"/>
        </w:rPr>
        <w:t xml:space="preserve"> ，指标完成率  </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2.满意度</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满意度指标：</w:t>
      </w:r>
    </w:p>
    <w:p>
      <w:pPr>
        <w:shd w:val="clear"/>
        <w:spacing w:line="600" w:lineRule="exact"/>
        <w:ind w:firstLine="640" w:firstLineChars="200"/>
        <w:outlineLvl w:val="0"/>
        <w:rPr>
          <w:rFonts w:hint="default"/>
          <w:lang w:val="en-US" w:eastAsia="zh-CN"/>
        </w:rPr>
      </w:pPr>
      <w:r>
        <w:rPr>
          <w:rFonts w:hint="eastAsia" w:ascii="仿宋_GB2312" w:hAnsi="仿宋_GB2312" w:eastAsia="仿宋_GB2312" w:cs="仿宋_GB2312"/>
          <w:sz w:val="32"/>
          <w:szCs w:val="32"/>
          <w:highlight w:val="none"/>
        </w:rPr>
        <w:t>指标1：参加活动人员满意度，指标值：</w:t>
      </w:r>
      <w:r>
        <w:rPr>
          <w:rFonts w:hint="eastAsia" w:ascii="仿宋_GB2312" w:hAnsi="仿宋_GB2312" w:eastAsia="仿宋_GB2312" w:cs="仿宋_GB2312"/>
          <w:sz w:val="32"/>
          <w:szCs w:val="32"/>
          <w:highlight w:val="none"/>
          <w:lang w:val="en-US" w:eastAsia="zh-CN"/>
        </w:rPr>
        <w:t>90%</w:t>
      </w:r>
      <w:r>
        <w:rPr>
          <w:rFonts w:hint="eastAsia" w:ascii="仿宋_GB2312" w:hAnsi="仿宋_GB2312" w:eastAsia="仿宋_GB2312" w:cs="仿宋_GB2312"/>
          <w:sz w:val="32"/>
          <w:szCs w:val="32"/>
          <w:highlight w:val="none"/>
        </w:rPr>
        <w:t xml:space="preserve"> ，实际完成值：</w:t>
      </w:r>
      <w:r>
        <w:rPr>
          <w:rFonts w:hint="eastAsia" w:ascii="仿宋_GB2312" w:hAnsi="仿宋_GB2312" w:eastAsia="仿宋_GB2312" w:cs="仿宋_GB2312"/>
          <w:sz w:val="32"/>
          <w:szCs w:val="32"/>
          <w:highlight w:val="none"/>
          <w:lang w:val="en-US" w:eastAsia="zh-CN"/>
        </w:rPr>
        <w:t>90.99%</w:t>
      </w:r>
      <w:r>
        <w:rPr>
          <w:rFonts w:hint="eastAsia" w:ascii="仿宋_GB2312" w:hAnsi="仿宋_GB2312" w:eastAsia="仿宋_GB2312" w:cs="仿宋_GB2312"/>
          <w:sz w:val="32"/>
          <w:szCs w:val="32"/>
          <w:highlight w:val="none"/>
        </w:rPr>
        <w:t xml:space="preserve"> ，指标完成率  </w:t>
      </w:r>
      <w:r>
        <w:rPr>
          <w:rFonts w:hint="eastAsia" w:ascii="仿宋_GB2312" w:hAnsi="仿宋_GB2312" w:eastAsia="仿宋_GB2312" w:cs="仿宋_GB2312"/>
          <w:sz w:val="32"/>
          <w:szCs w:val="32"/>
          <w:highlight w:val="none"/>
          <w:lang w:val="en-US" w:eastAsia="zh-CN"/>
        </w:rPr>
        <w:t>101.1</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eastAsia="zh-CN"/>
        </w:rPr>
        <w:t>。</w:t>
      </w:r>
    </w:p>
    <w:p>
      <w:pPr>
        <w:spacing w:line="560" w:lineRule="exact"/>
        <w:ind w:firstLine="640" w:firstLineChars="200"/>
        <w:rPr>
          <w:rFonts w:hint="eastAsia" w:ascii="Times New Roman" w:hAnsi="Times New Roman" w:eastAsia="黑体" w:cs="Times New Roman"/>
          <w:sz w:val="32"/>
          <w:szCs w:val="32"/>
          <w:lang w:eastAsia="zh-Hans"/>
        </w:rPr>
      </w:pPr>
      <w:r>
        <w:rPr>
          <w:rFonts w:hint="eastAsia" w:ascii="Times New Roman" w:hAnsi="Times New Roman" w:eastAsia="黑体" w:cs="Times New Roman"/>
          <w:sz w:val="32"/>
          <w:szCs w:val="32"/>
          <w:lang w:eastAsia="zh-Hans"/>
        </w:rPr>
        <w:t>五、预算执行进度与绩效指标总体完成率偏差</w:t>
      </w:r>
    </w:p>
    <w:p>
      <w:pPr>
        <w:spacing w:line="700" w:lineRule="exact"/>
        <w:jc w:val="left"/>
        <w:rPr>
          <w:rFonts w:eastAsia="方正仿宋_GBK" w:cs="方正仿宋_GBK"/>
          <w:sz w:val="32"/>
          <w:szCs w:val="32"/>
          <w:highlight w:val="none"/>
        </w:rPr>
      </w:pPr>
      <w:r>
        <w:rPr>
          <w:rFonts w:hint="eastAsia" w:ascii="仿宋_GB2312" w:hAnsi="仿宋_GB2312" w:eastAsia="仿宋_GB2312" w:cs="仿宋_GB2312"/>
          <w:kern w:val="0"/>
          <w:sz w:val="32"/>
          <w:szCs w:val="32"/>
        </w:rPr>
        <w:t>免费开放运行保障经</w:t>
      </w:r>
      <w:r>
        <w:rPr>
          <w:rFonts w:hint="eastAsia" w:ascii="仿宋_GB2312" w:hAnsi="仿宋_GB2312" w:eastAsia="仿宋_GB2312" w:cs="仿宋_GB2312"/>
          <w:kern w:val="0"/>
          <w:sz w:val="32"/>
          <w:szCs w:val="32"/>
          <w:highlight w:val="none"/>
        </w:rPr>
        <w:t>费</w:t>
      </w:r>
      <w:r>
        <w:rPr>
          <w:rFonts w:hint="eastAsia" w:eastAsia="方正仿宋_GBK" w:cs="方正仿宋_GBK"/>
          <w:sz w:val="32"/>
          <w:szCs w:val="32"/>
          <w:highlight w:val="none"/>
        </w:rPr>
        <w:t>项目年初预算</w:t>
      </w:r>
      <w:r>
        <w:rPr>
          <w:rFonts w:hint="eastAsia" w:eastAsia="方正仿宋_GBK" w:cs="方正仿宋_GBK"/>
          <w:sz w:val="32"/>
          <w:szCs w:val="32"/>
          <w:highlight w:val="none"/>
          <w:lang w:val="en-US" w:eastAsia="zh-CN"/>
        </w:rPr>
        <w:t>350</w:t>
      </w:r>
      <w:r>
        <w:rPr>
          <w:rFonts w:hint="eastAsia" w:eastAsia="方正仿宋_GBK" w:cs="方正仿宋_GBK"/>
          <w:sz w:val="32"/>
          <w:szCs w:val="32"/>
          <w:highlight w:val="none"/>
        </w:rPr>
        <w:t>万元，全年预算</w:t>
      </w:r>
      <w:r>
        <w:rPr>
          <w:rFonts w:hint="eastAsia" w:eastAsia="方正仿宋_GBK" w:cs="方正仿宋_GBK"/>
          <w:sz w:val="32"/>
          <w:szCs w:val="32"/>
          <w:highlight w:val="none"/>
          <w:lang w:val="en-US" w:eastAsia="zh-CN"/>
        </w:rPr>
        <w:t>350</w:t>
      </w:r>
      <w:r>
        <w:rPr>
          <w:rFonts w:hint="eastAsia" w:eastAsia="方正仿宋_GBK" w:cs="方正仿宋_GBK"/>
          <w:sz w:val="32"/>
          <w:szCs w:val="32"/>
          <w:highlight w:val="none"/>
        </w:rPr>
        <w:t>万元，实际支出</w:t>
      </w:r>
      <w:r>
        <w:rPr>
          <w:rFonts w:hint="eastAsia" w:eastAsia="方正仿宋_GBK" w:cs="方正仿宋_GBK"/>
          <w:sz w:val="32"/>
          <w:szCs w:val="32"/>
          <w:highlight w:val="none"/>
          <w:lang w:val="en-US" w:eastAsia="zh-CN"/>
        </w:rPr>
        <w:t>350</w:t>
      </w:r>
      <w:r>
        <w:rPr>
          <w:rFonts w:hint="eastAsia" w:eastAsia="方正仿宋_GBK" w:cs="方正仿宋_GBK"/>
          <w:sz w:val="32"/>
          <w:szCs w:val="32"/>
          <w:highlight w:val="none"/>
        </w:rPr>
        <w:t>万元，预算执行率为</w:t>
      </w:r>
      <w:r>
        <w:rPr>
          <w:rFonts w:hint="eastAsia" w:eastAsia="方正仿宋_GBK" w:cs="方正仿宋_GBK"/>
          <w:sz w:val="32"/>
          <w:szCs w:val="32"/>
          <w:highlight w:val="none"/>
          <w:lang w:val="en-US" w:eastAsia="zh-CN"/>
        </w:rPr>
        <w:t>100</w:t>
      </w:r>
      <w:r>
        <w:rPr>
          <w:rFonts w:hint="eastAsia" w:eastAsia="方正仿宋_GBK" w:cs="方正仿宋_GBK"/>
          <w:sz w:val="32"/>
          <w:szCs w:val="32"/>
          <w:highlight w:val="none"/>
        </w:rPr>
        <w:t>%，项目绩效指标总体完成率为</w:t>
      </w:r>
      <w:r>
        <w:rPr>
          <w:rFonts w:hint="eastAsia" w:eastAsia="方正仿宋_GBK" w:cs="方正仿宋_GBK"/>
          <w:sz w:val="32"/>
          <w:szCs w:val="32"/>
          <w:highlight w:val="none"/>
          <w:lang w:val="en-US" w:eastAsia="zh-CN"/>
        </w:rPr>
        <w:t>116.19</w:t>
      </w:r>
      <w:r>
        <w:rPr>
          <w:rFonts w:hint="eastAsia" w:eastAsia="方正仿宋_GBK" w:cs="方正仿宋_GBK"/>
          <w:sz w:val="32"/>
          <w:szCs w:val="32"/>
          <w:highlight w:val="none"/>
        </w:rPr>
        <w:t>%，</w:t>
      </w:r>
      <w:r>
        <w:rPr>
          <w:rFonts w:hint="eastAsia" w:eastAsia="方正仿宋_GBK" w:cs="方正仿宋_GBK"/>
          <w:sz w:val="32"/>
          <w:szCs w:val="32"/>
          <w:highlight w:val="none"/>
          <w:lang w:eastAsia="zh-Hans"/>
        </w:rPr>
        <w:t>总体</w:t>
      </w:r>
      <w:r>
        <w:rPr>
          <w:rFonts w:hint="eastAsia" w:eastAsia="方正仿宋_GBK" w:cs="方正仿宋_GBK"/>
          <w:sz w:val="32"/>
          <w:szCs w:val="32"/>
          <w:highlight w:val="none"/>
        </w:rPr>
        <w:t>偏差率为</w:t>
      </w:r>
      <w:r>
        <w:rPr>
          <w:rFonts w:hint="eastAsia" w:eastAsia="方正仿宋_GBK" w:cs="方正仿宋_GBK"/>
          <w:sz w:val="32"/>
          <w:szCs w:val="32"/>
          <w:highlight w:val="none"/>
          <w:lang w:val="en-US" w:eastAsia="zh-CN"/>
        </w:rPr>
        <w:t>16.19</w:t>
      </w:r>
      <w:r>
        <w:rPr>
          <w:rFonts w:hint="eastAsia" w:eastAsia="方正仿宋_GBK" w:cs="方正仿宋_GBK"/>
          <w:sz w:val="32"/>
          <w:szCs w:val="32"/>
          <w:highlight w:val="none"/>
        </w:rPr>
        <w:t>%,</w:t>
      </w:r>
      <w:r>
        <w:rPr>
          <w:rFonts w:hint="eastAsia" w:eastAsia="方正仿宋_GBK" w:cs="方正仿宋_GBK"/>
          <w:sz w:val="32"/>
          <w:szCs w:val="32"/>
          <w:highlight w:val="none"/>
          <w:lang w:eastAsia="zh-Hans"/>
        </w:rPr>
        <w:t>偏差</w:t>
      </w:r>
      <w:r>
        <w:rPr>
          <w:rFonts w:hint="eastAsia" w:eastAsia="方正仿宋_GBK" w:cs="方正仿宋_GBK"/>
          <w:sz w:val="32"/>
          <w:szCs w:val="32"/>
          <w:highlight w:val="none"/>
        </w:rPr>
        <w:t>原因</w:t>
      </w:r>
      <w:r>
        <w:rPr>
          <w:rFonts w:hint="eastAsia" w:eastAsia="方正仿宋_GBK" w:cs="方正仿宋_GBK"/>
          <w:sz w:val="32"/>
          <w:szCs w:val="32"/>
          <w:highlight w:val="none"/>
          <w:lang w:val="en-US" w:eastAsia="zh-CN"/>
        </w:rPr>
        <w:t>公教活动场次及公众号信息发布年度指标值设定偏低</w:t>
      </w:r>
      <w:r>
        <w:rPr>
          <w:rFonts w:hint="eastAsia" w:eastAsia="方正仿宋_GBK" w:cs="方正仿宋_GBK"/>
          <w:sz w:val="32"/>
          <w:szCs w:val="32"/>
          <w:highlight w:val="none"/>
        </w:rPr>
        <w:t>，</w:t>
      </w:r>
      <w:r>
        <w:rPr>
          <w:rFonts w:hint="eastAsia" w:eastAsia="方正仿宋_GBK" w:cs="方正仿宋_GBK"/>
          <w:sz w:val="32"/>
          <w:szCs w:val="32"/>
          <w:highlight w:val="none"/>
          <w:lang w:eastAsia="zh-Hans"/>
        </w:rPr>
        <w:t>改进</w:t>
      </w:r>
      <w:r>
        <w:rPr>
          <w:rFonts w:hint="eastAsia" w:eastAsia="方正仿宋_GBK" w:cs="方正仿宋_GBK"/>
          <w:sz w:val="32"/>
          <w:szCs w:val="32"/>
          <w:highlight w:val="none"/>
        </w:rPr>
        <w:t>措施</w:t>
      </w:r>
      <w:r>
        <w:rPr>
          <w:rFonts w:hint="eastAsia" w:eastAsia="方正仿宋_GBK" w:cs="方正仿宋_GBK"/>
          <w:sz w:val="32"/>
          <w:szCs w:val="32"/>
          <w:highlight w:val="none"/>
          <w:lang w:eastAsia="zh-CN"/>
        </w:rPr>
        <w:t>根据实际情况更加科学合理的设置指标</w:t>
      </w:r>
      <w:r>
        <w:rPr>
          <w:rFonts w:hint="eastAsia" w:eastAsia="方正仿宋_GBK" w:cs="方正仿宋_GBK"/>
          <w:sz w:val="32"/>
          <w:szCs w:val="32"/>
          <w:highlight w:val="none"/>
        </w:rPr>
        <w:t>。</w:t>
      </w:r>
    </w:p>
    <w:p>
      <w:pPr>
        <w:spacing w:line="560" w:lineRule="exact"/>
        <w:ind w:firstLine="640" w:firstLineChars="200"/>
        <w:rPr>
          <w:rStyle w:val="17"/>
          <w:rFonts w:ascii="Times New Roman" w:hAnsi="Times New Roman" w:cs="Times New Roman"/>
          <w:color w:val="auto"/>
          <w:highlight w:val="none"/>
        </w:rPr>
      </w:pPr>
      <w:r>
        <w:rPr>
          <w:rFonts w:hint="eastAsia" w:eastAsia="黑体"/>
          <w:sz w:val="32"/>
          <w:szCs w:val="32"/>
          <w:highlight w:val="none"/>
          <w:lang w:eastAsia="zh-Hans"/>
        </w:rPr>
        <w:t>六</w:t>
      </w:r>
      <w:r>
        <w:rPr>
          <w:rFonts w:eastAsia="黑体"/>
          <w:sz w:val="32"/>
          <w:szCs w:val="32"/>
          <w:highlight w:val="none"/>
        </w:rPr>
        <w:t>、主要经验及做法、存在的问题及原因分析</w:t>
      </w:r>
    </w:p>
    <w:p>
      <w:pPr>
        <w:spacing w:line="560" w:lineRule="exact"/>
        <w:ind w:firstLine="626" w:firstLineChars="200"/>
        <w:rPr>
          <w:rFonts w:eastAsia="楷体"/>
          <w:b/>
          <w:spacing w:val="-4"/>
          <w:sz w:val="32"/>
          <w:szCs w:val="32"/>
          <w:highlight w:val="none"/>
        </w:rPr>
      </w:pPr>
      <w:r>
        <w:rPr>
          <w:rFonts w:eastAsia="楷体"/>
          <w:b/>
          <w:spacing w:val="-4"/>
          <w:sz w:val="32"/>
          <w:szCs w:val="32"/>
          <w:highlight w:val="none"/>
        </w:rPr>
        <w:t>（一）主要经验及做法</w:t>
      </w:r>
    </w:p>
    <w:p>
      <w:pPr>
        <w:spacing w:line="560" w:lineRule="exact"/>
        <w:ind w:firstLine="640" w:firstLineChars="200"/>
        <w:rPr>
          <w:rFonts w:eastAsia="仿宋_GB2312"/>
          <w:sz w:val="32"/>
          <w:szCs w:val="32"/>
        </w:rPr>
      </w:pPr>
      <w:r>
        <w:rPr>
          <w:rFonts w:eastAsia="仿宋_GB2312"/>
          <w:sz w:val="32"/>
          <w:szCs w:val="32"/>
          <w:highlight w:val="none"/>
        </w:rPr>
        <w:t>为确保项目顺利进行，提前做好项目规划，将</w:t>
      </w:r>
      <w:r>
        <w:rPr>
          <w:rFonts w:eastAsia="仿宋_GB2312"/>
          <w:sz w:val="32"/>
          <w:szCs w:val="32"/>
        </w:rPr>
        <w:t>所列计划再三审核。在项目实施过程中做好定期监督检查，严格按照项目管理规范进行，在项目资金使用过程中，严格落实把关，按照项目资金使用范围做好审核工作，让项目资金落于实处。在项目完成后，做好受益群众民意调查及项目防范工作。</w:t>
      </w:r>
    </w:p>
    <w:p>
      <w:pPr>
        <w:pStyle w:val="2"/>
        <w:spacing w:before="0" w:after="0" w:line="560" w:lineRule="exact"/>
        <w:ind w:firstLine="640" w:firstLineChars="200"/>
        <w:jc w:val="left"/>
        <w:rPr>
          <w:rFonts w:ascii="Times New Roman" w:hAnsi="Times New Roman" w:eastAsia="仿宋_GB2312"/>
          <w:b w:val="0"/>
          <w:bCs w:val="0"/>
          <w:kern w:val="2"/>
        </w:rPr>
      </w:pPr>
      <w:r>
        <w:rPr>
          <w:rFonts w:ascii="Times New Roman" w:hAnsi="Times New Roman" w:eastAsia="仿宋_GB2312"/>
          <w:b w:val="0"/>
          <w:bCs w:val="0"/>
          <w:kern w:val="2"/>
        </w:rPr>
        <w:t>严格坚持先做事、后验收、再拨付的原则，基本杜绝了资金被挤占和挪用现象的发生，跟踪检查到位。财政、纪检、监察等职能部门全面参与专项资金事前、事中和事后全过程的监管。在监督环节上，实行关口前移，从事后监督管理转向事前审核，事中监督和事后检查稽核相结合的监督制度上来，形成多环节全过程的监督管理格局，尽量早发现问题，早解决问题。</w:t>
      </w:r>
    </w:p>
    <w:p>
      <w:pPr>
        <w:keepNext/>
        <w:keepLines/>
        <w:numPr>
          <w:ilvl w:val="0"/>
          <w:numId w:val="4"/>
        </w:numPr>
        <w:spacing w:line="560" w:lineRule="exact"/>
        <w:ind w:firstLine="642" w:firstLineChars="200"/>
        <w:rPr>
          <w:rFonts w:eastAsia="楷体_GB2312"/>
          <w:b/>
          <w:bCs/>
          <w:color w:val="7030A0"/>
          <w:sz w:val="32"/>
          <w:szCs w:val="32"/>
        </w:rPr>
      </w:pPr>
      <w:r>
        <w:rPr>
          <w:rFonts w:eastAsia="楷体_GB2312"/>
          <w:b/>
          <w:bCs/>
          <w:sz w:val="32"/>
          <w:szCs w:val="32"/>
        </w:rPr>
        <w:t>存在的问题及原因分析</w:t>
      </w:r>
    </w:p>
    <w:p>
      <w:pPr>
        <w:spacing w:line="540" w:lineRule="exact"/>
        <w:ind w:firstLine="640" w:firstLineChars="200"/>
      </w:pPr>
      <w:r>
        <w:rPr>
          <w:rFonts w:hint="eastAsia" w:ascii="仿宋_GB2312" w:hAnsi="仿宋_GB2312" w:eastAsia="仿宋_GB2312" w:cs="仿宋_GB2312"/>
          <w:sz w:val="32"/>
          <w:szCs w:val="32"/>
        </w:rPr>
        <w:t>1、存在的问题</w:t>
      </w:r>
    </w:p>
    <w:p>
      <w:pPr>
        <w:shd w:val="clear"/>
        <w:spacing w:line="600" w:lineRule="exact"/>
        <w:ind w:firstLine="640" w:firstLineChars="200"/>
        <w:outlineLvl w:val="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a.相关绩效管理方面专业知识的系统性学习有待加强。各项指标的设置要进一步优化、完善，主要在细化、量化上改进。在绩效自评过程中，由于部分人员缺乏相关绩效管理专业知识，自评价工作还存在自我审定的局限性，影响评价质量。</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val="en-US" w:eastAsia="zh-CN"/>
        </w:rPr>
        <w:t>b.</w:t>
      </w:r>
      <w:r>
        <w:rPr>
          <w:rFonts w:hint="eastAsia" w:ascii="仿宋_GB2312" w:hAnsi="仿宋_GB2312" w:eastAsia="仿宋_GB2312" w:cs="仿宋_GB2312"/>
          <w:color w:val="auto"/>
          <w:sz w:val="32"/>
          <w:szCs w:val="32"/>
        </w:rPr>
        <w:t>观众对美术馆展览内容要求很高，希望能够保持展览质量，邀请知名艺术家、策展人为新疆带来高质量视觉盛宴，同时，观众对加入美术馆艺术教育活动，艺术创作和展览的愿望也很强烈。</w:t>
      </w:r>
    </w:p>
    <w:p>
      <w:pPr>
        <w:spacing w:line="600" w:lineRule="exact"/>
        <w:ind w:firstLine="64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2、原因分析</w:t>
      </w:r>
    </w:p>
    <w:p>
      <w:pPr>
        <w:spacing w:line="600" w:lineRule="exact"/>
        <w:ind w:firstLine="640"/>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highlight w:val="none"/>
          <w:lang w:val="en-US" w:eastAsia="zh-CN"/>
        </w:rPr>
        <w:t>a.</w:t>
      </w:r>
      <w:r>
        <w:rPr>
          <w:rFonts w:hint="eastAsia" w:ascii="仿宋_GB2312" w:hAnsi="仿宋_GB2312" w:eastAsia="仿宋_GB2312" w:cs="仿宋_GB2312"/>
          <w:color w:val="auto"/>
          <w:sz w:val="32"/>
          <w:szCs w:val="32"/>
        </w:rPr>
        <w:t>美术馆为新成立单位，</w:t>
      </w:r>
      <w:r>
        <w:rPr>
          <w:rFonts w:hint="eastAsia" w:ascii="仿宋_GB2312" w:hAnsi="仿宋_GB2312" w:eastAsia="仿宋_GB2312" w:cs="仿宋_GB2312"/>
          <w:color w:val="auto"/>
          <w:sz w:val="32"/>
          <w:szCs w:val="32"/>
          <w:lang w:eastAsia="zh-CN"/>
        </w:rPr>
        <w:t>相关业务人员对</w:t>
      </w:r>
      <w:r>
        <w:rPr>
          <w:rFonts w:hint="eastAsia" w:ascii="仿宋_GB2312" w:hAnsi="仿宋_GB2312" w:eastAsia="仿宋_GB2312" w:cs="仿宋_GB2312"/>
          <w:color w:val="auto"/>
          <w:sz w:val="32"/>
          <w:szCs w:val="32"/>
          <w:lang w:val="en-US" w:eastAsia="zh-CN"/>
        </w:rPr>
        <w:t xml:space="preserve">绩效管理方面专业知识不足。各项指标的设置不够识完善，自评价工作还存在自我审定的局限性，影响评价质量。                                                                                                                                                                                      </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b.</w:t>
      </w:r>
      <w:r>
        <w:rPr>
          <w:rFonts w:hint="eastAsia" w:ascii="仿宋_GB2312" w:hAnsi="仿宋_GB2312" w:eastAsia="仿宋_GB2312" w:cs="仿宋_GB2312"/>
          <w:color w:val="auto"/>
          <w:sz w:val="32"/>
          <w:szCs w:val="32"/>
        </w:rPr>
        <w:t>美术馆为新成立单位，观众对美术馆的认知还</w:t>
      </w:r>
      <w:r>
        <w:rPr>
          <w:rFonts w:hint="eastAsia" w:ascii="仿宋_GB2312" w:hAnsi="仿宋_GB2312" w:eastAsia="仿宋_GB2312" w:cs="仿宋_GB2312"/>
          <w:sz w:val="32"/>
          <w:szCs w:val="32"/>
        </w:rPr>
        <w:t>停留在庙会和艺术巴扎等状态，对美术馆的要求和美术馆的目前功能及专业方向和层次不慎匹配。新疆美术馆自开馆以来不断琢磨，不断反思，不断改进，力求更好地履行公共文化服务职能，满足人民群众对美好生活的精神文化需求与期待的重点工作。</w:t>
      </w:r>
    </w:p>
    <w:p>
      <w:pPr>
        <w:pStyle w:val="2"/>
      </w:pPr>
    </w:p>
    <w:p>
      <w:pPr>
        <w:shd w:val="clear"/>
        <w:spacing w:line="600" w:lineRule="exact"/>
        <w:ind w:firstLine="640" w:firstLineChars="200"/>
        <w:outlineLvl w:val="0"/>
        <w:rPr>
          <w:rFonts w:hint="eastAsia" w:ascii="仿宋_GB2312" w:hAnsi="仿宋_GB2312" w:eastAsia="仿宋_GB2312" w:cs="仿宋_GB2312"/>
          <w:color w:val="7030A0"/>
          <w:sz w:val="32"/>
          <w:szCs w:val="32"/>
          <w:highlight w:val="none"/>
          <w:lang w:val="en-US" w:eastAsia="zh-CN"/>
        </w:rPr>
      </w:pPr>
    </w:p>
    <w:p>
      <w:pPr>
        <w:spacing w:line="560" w:lineRule="exact"/>
        <w:ind w:firstLine="640" w:firstLineChars="200"/>
        <w:rPr>
          <w:rFonts w:eastAsia="黑体"/>
          <w:color w:val="auto"/>
          <w:sz w:val="32"/>
          <w:szCs w:val="32"/>
        </w:rPr>
      </w:pPr>
      <w:r>
        <w:rPr>
          <w:rFonts w:hint="eastAsia" w:eastAsia="黑体"/>
          <w:color w:val="auto"/>
          <w:sz w:val="32"/>
          <w:szCs w:val="32"/>
          <w:lang w:eastAsia="zh-Hans"/>
        </w:rPr>
        <w:t>七、</w:t>
      </w:r>
      <w:r>
        <w:rPr>
          <w:rFonts w:eastAsia="黑体"/>
          <w:color w:val="auto"/>
          <w:sz w:val="32"/>
          <w:szCs w:val="32"/>
        </w:rPr>
        <w:t>有关建议</w:t>
      </w:r>
    </w:p>
    <w:p>
      <w:pPr>
        <w:shd w:val="clear"/>
        <w:spacing w:line="600" w:lineRule="exact"/>
        <w:ind w:firstLine="640" w:firstLineChars="200"/>
        <w:outlineLvl w:val="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1.多进行有关绩效管理工作方面的培训。积极组织第三方开展绩效管理工作培训，进一步夯实业务基础，提高我单位绩效人员水平。</w:t>
      </w:r>
    </w:p>
    <w:p>
      <w:pPr>
        <w:shd w:val="clear"/>
        <w:spacing w:line="600" w:lineRule="exact"/>
        <w:ind w:firstLine="640" w:firstLineChars="200"/>
        <w:outlineLvl w:val="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2.专门设定对绩效工作人员定职、定岗、定责等相关制度措施，进一步提升我单位绩效管理工作业务水平，扎实做好绩效管理工作。</w:t>
      </w:r>
    </w:p>
    <w:p>
      <w:pPr>
        <w:shd w:val="clear"/>
        <w:spacing w:line="600" w:lineRule="exact"/>
        <w:ind w:firstLine="640" w:firstLineChars="200"/>
        <w:outlineLvl w:val="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进一步规范项目建设的程序。项目前期做好可行性研究报告，更加细化实施方案，严格执行资金管理办法和财政资金管理制度，严格按照项目实施方案、招投标管理办法等稳步推进工作，各部门单位根据自己项目的特点进行总结。</w:t>
      </w:r>
    </w:p>
    <w:p>
      <w:pPr>
        <w:shd w:val="clear"/>
        <w:spacing w:line="600" w:lineRule="exact"/>
        <w:ind w:firstLine="640" w:firstLineChars="200"/>
        <w:outlineLvl w:val="0"/>
        <w:rPr>
          <w:color w:val="auto"/>
          <w:sz w:val="22"/>
          <w:szCs w:val="28"/>
        </w:rPr>
      </w:pPr>
      <w:r>
        <w:rPr>
          <w:rFonts w:hint="eastAsia" w:ascii="仿宋_GB2312" w:hAnsi="仿宋_GB2312" w:eastAsia="仿宋_GB2312" w:cs="仿宋_GB2312"/>
          <w:color w:val="auto"/>
          <w:sz w:val="32"/>
          <w:szCs w:val="32"/>
          <w:highlight w:val="none"/>
          <w:lang w:val="en-US" w:eastAsia="zh-CN"/>
        </w:rPr>
        <w:t>4.进一步完善项目评价过程中有关数据和资料的收集、整理、审核及分析。项目启动时同步做好档案的归纳与整理，及时整理、收集、汇总，健全档案资料。项目后续管理有待进一步加强和跟踪</w:t>
      </w:r>
      <w:r>
        <w:rPr>
          <w:rFonts w:hint="eastAsia" w:ascii="仿宋_GB2312" w:hAnsi="仿宋_GB2312" w:eastAsia="仿宋_GB2312" w:cs="仿宋_GB2312"/>
          <w:color w:val="auto"/>
          <w:sz w:val="36"/>
          <w:szCs w:val="32"/>
        </w:rPr>
        <w:t>。</w:t>
      </w:r>
    </w:p>
    <w:p>
      <w:pPr>
        <w:shd w:val="clear"/>
        <w:spacing w:line="600" w:lineRule="exact"/>
        <w:ind w:firstLine="640" w:firstLineChars="200"/>
        <w:outlineLvl w:val="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进一步加强对绩效管理工作的组织领导，提高对预算绩效管理工作重要性的认识，总结经验查找问题，抓紧研究制定更全面更完善的绩效评价管理办法。结合美术馆考核建立绩效工作考核制度，加大全局对全面实施预算绩效管理和绩效管理工作的学习力度，让“花钱必问效，无效必问责”的理念深入工作每个环节。</w:t>
      </w:r>
    </w:p>
    <w:p>
      <w:pPr>
        <w:spacing w:line="560" w:lineRule="exact"/>
        <w:ind w:firstLine="640" w:firstLineChars="200"/>
        <w:rPr>
          <w:rFonts w:eastAsia="黑体"/>
          <w:color w:val="auto"/>
          <w:sz w:val="32"/>
          <w:szCs w:val="32"/>
        </w:rPr>
      </w:pPr>
      <w:r>
        <w:rPr>
          <w:rFonts w:hint="eastAsia" w:eastAsia="黑体"/>
          <w:color w:val="auto"/>
          <w:sz w:val="32"/>
          <w:szCs w:val="32"/>
          <w:lang w:eastAsia="zh-Hans"/>
        </w:rPr>
        <w:t>八、</w:t>
      </w:r>
      <w:r>
        <w:rPr>
          <w:rFonts w:eastAsia="黑体"/>
          <w:color w:val="auto"/>
          <w:sz w:val="32"/>
          <w:szCs w:val="32"/>
        </w:rPr>
        <w:t>其他需要说</w:t>
      </w:r>
      <w:bookmarkStart w:id="6" w:name="page8"/>
      <w:bookmarkEnd w:id="6"/>
      <w:r>
        <w:rPr>
          <w:rFonts w:eastAsia="黑体"/>
          <w:color w:val="auto"/>
          <w:sz w:val="32"/>
          <w:szCs w:val="32"/>
        </w:rPr>
        <w:t>明的问题</w:t>
      </w:r>
    </w:p>
    <w:p>
      <w:pPr>
        <w:pStyle w:val="12"/>
        <w:spacing w:after="0" w:line="560" w:lineRule="exact"/>
        <w:ind w:left="0" w:leftChars="0"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Hans"/>
        </w:rPr>
        <w:t>本项目无其他需说明的问题。</w:t>
      </w:r>
    </w:p>
    <w:p>
      <w:pPr>
        <w:pStyle w:val="12"/>
        <w:spacing w:after="0" w:line="560" w:lineRule="exact"/>
        <w:ind w:left="0" w:leftChars="0" w:firstLine="640"/>
        <w:rPr>
          <w:rFonts w:ascii="仿宋_GB2312" w:hAnsi="仿宋_GB2312" w:eastAsia="仿宋_GB2312" w:cs="仿宋_GB2312"/>
          <w:color w:val="auto"/>
          <w:sz w:val="32"/>
          <w:szCs w:val="32"/>
        </w:rPr>
      </w:pPr>
    </w:p>
    <w:p>
      <w:pPr>
        <w:pStyle w:val="12"/>
        <w:spacing w:after="0" w:line="560" w:lineRule="exact"/>
        <w:ind w:left="0" w:leftChars="0" w:firstLine="640"/>
        <w:rPr>
          <w:rFonts w:ascii="仿宋_GB2312" w:hAnsi="仿宋_GB2312" w:eastAsia="仿宋_GB2312" w:cs="仿宋_GB2312"/>
          <w:color w:val="auto"/>
          <w:sz w:val="32"/>
          <w:szCs w:val="32"/>
        </w:rPr>
      </w:pPr>
    </w:p>
    <w:p>
      <w:pPr>
        <w:pStyle w:val="12"/>
        <w:spacing w:after="0" w:line="560" w:lineRule="exact"/>
        <w:ind w:left="0" w:leftChars="0" w:firstLine="0" w:firstLineChars="0"/>
        <w:rPr>
          <w:rFonts w:ascii="仿宋_GB2312" w:hAnsi="仿宋_GB2312" w:eastAsia="仿宋_GB2312" w:cs="仿宋_GB2312"/>
          <w:color w:val="auto"/>
          <w:sz w:val="32"/>
          <w:szCs w:val="32"/>
        </w:rPr>
      </w:pPr>
    </w:p>
    <w:p>
      <w:pPr>
        <w:widowControl/>
        <w:jc w:val="center"/>
        <w:textAlignment w:val="center"/>
        <w:rPr>
          <w:rFonts w:eastAsia="方正小标宋简体"/>
          <w:b/>
          <w:color w:val="auto"/>
          <w:kern w:val="0"/>
          <w:sz w:val="32"/>
          <w:szCs w:val="32"/>
          <w:lang w:bidi="ar"/>
        </w:rPr>
        <w:sectPr>
          <w:pgSz w:w="11906" w:h="16838"/>
          <w:pgMar w:top="1440" w:right="1558" w:bottom="1440" w:left="1800" w:header="851" w:footer="992" w:gutter="0"/>
          <w:cols w:space="425" w:num="1"/>
          <w:docGrid w:type="lines" w:linePitch="312" w:charSpace="0"/>
        </w:sectPr>
      </w:pPr>
    </w:p>
    <w:tbl>
      <w:tblPr>
        <w:tblStyle w:val="1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91"/>
        <w:gridCol w:w="567"/>
        <w:gridCol w:w="817"/>
        <w:gridCol w:w="518"/>
        <w:gridCol w:w="980"/>
        <w:gridCol w:w="419"/>
        <w:gridCol w:w="868"/>
        <w:gridCol w:w="875"/>
        <w:gridCol w:w="340"/>
        <w:gridCol w:w="249"/>
        <w:gridCol w:w="834"/>
        <w:gridCol w:w="1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8" w:hRule="atLeast"/>
        </w:trPr>
        <w:tc>
          <w:tcPr>
            <w:tcW w:w="5000" w:type="pct"/>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2022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 w:hRule="atLeast"/>
        </w:trPr>
        <w:tc>
          <w:tcPr>
            <w:tcW w:w="61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4381" w:type="pct"/>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免费开放运行保障经费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2" w:hRule="atLeast"/>
        </w:trPr>
        <w:tc>
          <w:tcPr>
            <w:tcW w:w="61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主管部门</w:t>
            </w:r>
          </w:p>
        </w:tc>
        <w:tc>
          <w:tcPr>
            <w:tcW w:w="2099"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1771"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新疆美术馆（自治区书法艺术发展中心）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2" w:hRule="atLeast"/>
        </w:trPr>
        <w:tc>
          <w:tcPr>
            <w:tcW w:w="618"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项目资金</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年初预算数</w:t>
            </w:r>
          </w:p>
        </w:tc>
        <w:tc>
          <w:tcPr>
            <w:tcW w:w="75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全年预算数</w:t>
            </w:r>
          </w:p>
        </w:tc>
        <w:tc>
          <w:tcPr>
            <w:tcW w:w="5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全年执行数</w:t>
            </w:r>
          </w:p>
        </w:tc>
        <w:tc>
          <w:tcPr>
            <w:tcW w:w="34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分值</w:t>
            </w:r>
          </w:p>
        </w:tc>
        <w:tc>
          <w:tcPr>
            <w:tcW w:w="4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执行率</w:t>
            </w:r>
          </w:p>
        </w:tc>
        <w:tc>
          <w:tcPr>
            <w:tcW w:w="9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2" w:hRule="atLeast"/>
        </w:trPr>
        <w:tc>
          <w:tcPr>
            <w:tcW w:w="61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年度资金总额</w:t>
            </w: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350</w:t>
            </w:r>
          </w:p>
        </w:tc>
        <w:tc>
          <w:tcPr>
            <w:tcW w:w="75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350</w:t>
            </w:r>
          </w:p>
        </w:tc>
        <w:tc>
          <w:tcPr>
            <w:tcW w:w="5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350</w:t>
            </w:r>
          </w:p>
        </w:tc>
        <w:tc>
          <w:tcPr>
            <w:tcW w:w="34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4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9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2" w:hRule="atLeast"/>
        </w:trPr>
        <w:tc>
          <w:tcPr>
            <w:tcW w:w="61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其中：当年财政拨款</w:t>
            </w: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350</w:t>
            </w:r>
          </w:p>
        </w:tc>
        <w:tc>
          <w:tcPr>
            <w:tcW w:w="75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350</w:t>
            </w:r>
          </w:p>
        </w:tc>
        <w:tc>
          <w:tcPr>
            <w:tcW w:w="5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350</w:t>
            </w:r>
          </w:p>
        </w:tc>
        <w:tc>
          <w:tcPr>
            <w:tcW w:w="34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4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2" w:hRule="atLeast"/>
        </w:trPr>
        <w:tc>
          <w:tcPr>
            <w:tcW w:w="61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上年结转资金</w:t>
            </w: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0" w:hRule="atLeast"/>
        </w:trPr>
        <w:tc>
          <w:tcPr>
            <w:tcW w:w="61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其他资金</w:t>
            </w:r>
          </w:p>
        </w:tc>
        <w:tc>
          <w:tcPr>
            <w:tcW w:w="5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2" w:hRule="atLeast"/>
        </w:trPr>
        <w:tc>
          <w:tcPr>
            <w:tcW w:w="28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年度总体目标</w:t>
            </w:r>
          </w:p>
        </w:tc>
        <w:tc>
          <w:tcPr>
            <w:tcW w:w="2430"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预期目标</w:t>
            </w:r>
          </w:p>
        </w:tc>
        <w:tc>
          <w:tcPr>
            <w:tcW w:w="2282"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20"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30"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照新疆美术馆整体发展战略，开展藏品征集工作，在展示新中国成立以来新疆美术事业发展面貌的同时，以推动中国现当代艺术的国际化发展为主要目标，建构中国现当代美术史的新疆艺术作品收藏体系，完善新疆的艺术研究机制建立中国连接亚欧艺术的学术中心，进一步推动新疆美术事业的发展。</w:t>
            </w:r>
          </w:p>
        </w:tc>
        <w:tc>
          <w:tcPr>
            <w:tcW w:w="2282"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2022年，新疆美术馆共推出6个重要展览，各展厅共接待17万余人次参观，累计接待172家团体，开展13场公教活动（线下11场，线上2场），活动具体参加人数为881人，活动覆盖人数达438611人（包含线上线下在内），丰富了新疆人民的艺术生活，提升了大众美育，公共文化服务效能明显提升，圆满完成计划工作，达到了预期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2" w:hRule="atLeast"/>
        </w:trPr>
        <w:tc>
          <w:tcPr>
            <w:tcW w:w="28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绩</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w:t>
            </w:r>
          </w:p>
        </w:tc>
        <w:tc>
          <w:tcPr>
            <w:tcW w:w="3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47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117" w:type="pct"/>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5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w:t>
            </w:r>
          </w:p>
        </w:tc>
        <w:tc>
          <w:tcPr>
            <w:tcW w:w="70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w:t>
            </w:r>
          </w:p>
        </w:tc>
        <w:tc>
          <w:tcPr>
            <w:tcW w:w="1573" w:type="pct"/>
            <w:gridSpan w:val="3"/>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17"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指标值</w:t>
            </w:r>
          </w:p>
        </w:tc>
        <w:tc>
          <w:tcPr>
            <w:tcW w:w="70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完成值</w:t>
            </w:r>
          </w:p>
        </w:tc>
        <w:tc>
          <w:tcPr>
            <w:tcW w:w="1573" w:type="pct"/>
            <w:gridSpan w:val="3"/>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0"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47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11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指标1：公教活动场次</w:t>
            </w:r>
          </w:p>
        </w:tc>
        <w:tc>
          <w:tcPr>
            <w:tcW w:w="505"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≥10场次</w:t>
            </w:r>
          </w:p>
        </w:tc>
        <w:tc>
          <w:tcPr>
            <w:tcW w:w="70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13场次</w:t>
            </w:r>
          </w:p>
        </w:tc>
        <w:tc>
          <w:tcPr>
            <w:tcW w:w="1573"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线下活动11场，线上活动2场,提高年度指标值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0"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1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指标2：举办展览场次</w:t>
            </w:r>
          </w:p>
        </w:tc>
        <w:tc>
          <w:tcPr>
            <w:tcW w:w="505"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≥6场次</w:t>
            </w:r>
          </w:p>
        </w:tc>
        <w:tc>
          <w:tcPr>
            <w:tcW w:w="70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6场次</w:t>
            </w:r>
          </w:p>
        </w:tc>
        <w:tc>
          <w:tcPr>
            <w:tcW w:w="1573"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4"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1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指标3：参观人次</w:t>
            </w:r>
          </w:p>
        </w:tc>
        <w:tc>
          <w:tcPr>
            <w:tcW w:w="505"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≥15万/人次</w:t>
            </w:r>
          </w:p>
        </w:tc>
        <w:tc>
          <w:tcPr>
            <w:tcW w:w="708" w:type="pct"/>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17万/人次</w:t>
            </w:r>
          </w:p>
        </w:tc>
        <w:tc>
          <w:tcPr>
            <w:tcW w:w="1573"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5"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1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指标4：公众号信息发布</w:t>
            </w:r>
          </w:p>
        </w:tc>
        <w:tc>
          <w:tcPr>
            <w:tcW w:w="505"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≥30篇</w:t>
            </w:r>
          </w:p>
        </w:tc>
        <w:tc>
          <w:tcPr>
            <w:tcW w:w="70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64篇</w:t>
            </w:r>
          </w:p>
        </w:tc>
        <w:tc>
          <w:tcPr>
            <w:tcW w:w="1573"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线上看展17期，公共教育活动回顾47篇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5"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1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指标5：提供公共文化服务</w:t>
            </w:r>
          </w:p>
        </w:tc>
        <w:tc>
          <w:tcPr>
            <w:tcW w:w="505"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≥200天</w:t>
            </w:r>
          </w:p>
        </w:tc>
        <w:tc>
          <w:tcPr>
            <w:tcW w:w="70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209天</w:t>
            </w:r>
          </w:p>
        </w:tc>
        <w:tc>
          <w:tcPr>
            <w:tcW w:w="1573"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2"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11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指标1：项目按期完成率</w:t>
            </w:r>
          </w:p>
        </w:tc>
        <w:tc>
          <w:tcPr>
            <w:tcW w:w="505"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708" w:type="pct"/>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573"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11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指标1：免费开放运行相关费用</w:t>
            </w:r>
          </w:p>
        </w:tc>
        <w:tc>
          <w:tcPr>
            <w:tcW w:w="505"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`=99.6万元</w:t>
            </w:r>
          </w:p>
        </w:tc>
        <w:tc>
          <w:tcPr>
            <w:tcW w:w="708" w:type="pct"/>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99.6万元</w:t>
            </w:r>
          </w:p>
        </w:tc>
        <w:tc>
          <w:tcPr>
            <w:tcW w:w="1573"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1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指标2：展览策划筹备布展开展艺术教育费用</w:t>
            </w:r>
          </w:p>
        </w:tc>
        <w:tc>
          <w:tcPr>
            <w:tcW w:w="505"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`=250.4万元</w:t>
            </w:r>
          </w:p>
        </w:tc>
        <w:tc>
          <w:tcPr>
            <w:tcW w:w="708" w:type="pct"/>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250.4万元</w:t>
            </w:r>
          </w:p>
        </w:tc>
        <w:tc>
          <w:tcPr>
            <w:tcW w:w="1573"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9"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效益指标</w:t>
            </w:r>
          </w:p>
        </w:tc>
        <w:tc>
          <w:tcPr>
            <w:tcW w:w="4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w:t>
            </w:r>
          </w:p>
        </w:tc>
        <w:tc>
          <w:tcPr>
            <w:tcW w:w="111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指标1：保障社会审美需求</w:t>
            </w:r>
          </w:p>
        </w:tc>
        <w:tc>
          <w:tcPr>
            <w:tcW w:w="5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有效保障</w:t>
            </w:r>
          </w:p>
        </w:tc>
        <w:tc>
          <w:tcPr>
            <w:tcW w:w="70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有效保障</w:t>
            </w:r>
          </w:p>
        </w:tc>
        <w:tc>
          <w:tcPr>
            <w:tcW w:w="1573"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00"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满意度</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w:t>
            </w:r>
          </w:p>
        </w:tc>
        <w:tc>
          <w:tcPr>
            <w:tcW w:w="4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11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指标1：参加活动人员满意度</w:t>
            </w:r>
          </w:p>
        </w:tc>
        <w:tc>
          <w:tcPr>
            <w:tcW w:w="505" w:type="pct"/>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70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90.99%</w:t>
            </w:r>
          </w:p>
        </w:tc>
        <w:tc>
          <w:tcPr>
            <w:tcW w:w="1573"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Pr>
        <w:pStyle w:val="2"/>
        <w:jc w:val="both"/>
        <w:rPr>
          <w:rFonts w:ascii="Times New Roman" w:hAnsi="Times New Roman"/>
        </w:rPr>
        <w:sectPr>
          <w:pgSz w:w="11906" w:h="16838"/>
          <w:pgMar w:top="1440" w:right="1558" w:bottom="1440" w:left="1800" w:header="851" w:footer="992" w:gutter="0"/>
          <w:cols w:space="425" w:num="1"/>
          <w:docGrid w:type="lines" w:linePitch="312" w:charSpace="0"/>
        </w:sectPr>
      </w:pPr>
    </w:p>
    <w:p>
      <w:pPr>
        <w:spacing w:line="600" w:lineRule="exact"/>
        <w:rPr>
          <w:rFonts w:hint="eastAsia" w:ascii="黑体" w:hAnsi="黑体" w:eastAsia="黑体" w:cs="黑体"/>
        </w:rPr>
      </w:pPr>
      <w:r>
        <w:rPr>
          <w:rFonts w:hint="eastAsia" w:ascii="黑体" w:hAnsi="黑体" w:eastAsia="黑体" w:cs="黑体"/>
          <w:bCs/>
          <w:sz w:val="32"/>
          <w:szCs w:val="32"/>
        </w:rPr>
        <w:t>附件1</w:t>
      </w:r>
    </w:p>
    <w:p>
      <w:pPr>
        <w:spacing w:line="700" w:lineRule="exact"/>
        <w:jc w:val="center"/>
        <w:rPr>
          <w:sz w:val="28"/>
          <w:szCs w:val="40"/>
        </w:rPr>
      </w:pPr>
      <w:bookmarkStart w:id="7" w:name="_Toc30064_WPSOffice_Level1"/>
      <w:bookmarkStart w:id="8" w:name="_Toc26499_WPSOffice_Level2"/>
      <w:r>
        <w:rPr>
          <w:rFonts w:hint="eastAsia" w:ascii="Times New Roman" w:hAnsi="Times New Roman" w:eastAsia="宋体" w:cs="Times New Roman"/>
          <w:b/>
          <w:bCs/>
          <w:kern w:val="0"/>
          <w:sz w:val="28"/>
          <w:szCs w:val="40"/>
          <w:lang w:val="en-US" w:eastAsia="zh-CN" w:bidi="ar-SA"/>
        </w:rPr>
        <w:t>免费开放运行保障经费</w:t>
      </w:r>
      <w:r>
        <w:rPr>
          <w:rFonts w:hint="eastAsia"/>
          <w:b/>
          <w:bCs/>
          <w:sz w:val="28"/>
          <w:szCs w:val="40"/>
          <w:highlight w:val="none"/>
        </w:rPr>
        <w:t>项目绩</w:t>
      </w:r>
      <w:r>
        <w:rPr>
          <w:rFonts w:hint="eastAsia"/>
          <w:b/>
          <w:bCs/>
          <w:sz w:val="28"/>
          <w:szCs w:val="40"/>
        </w:rPr>
        <w:t>效评价指标体系及综合评分表</w:t>
      </w:r>
      <w:bookmarkEnd w:id="7"/>
      <w:bookmarkEnd w:id="8"/>
    </w:p>
    <w:tbl>
      <w:tblPr>
        <w:tblStyle w:val="13"/>
        <w:tblW w:w="12683"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832"/>
        <w:gridCol w:w="764"/>
        <w:gridCol w:w="873"/>
        <w:gridCol w:w="2353"/>
        <w:gridCol w:w="5198"/>
        <w:gridCol w:w="1300"/>
        <w:gridCol w:w="136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2" w:hRule="atLeast"/>
          <w:tblHeader/>
          <w:jc w:val="center"/>
        </w:trPr>
        <w:tc>
          <w:tcPr>
            <w:tcW w:w="832" w:type="dxa"/>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一级指标</w:t>
            </w:r>
          </w:p>
        </w:tc>
        <w:tc>
          <w:tcPr>
            <w:tcW w:w="764" w:type="dxa"/>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二级指标</w:t>
            </w:r>
          </w:p>
        </w:tc>
        <w:tc>
          <w:tcPr>
            <w:tcW w:w="873" w:type="dxa"/>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三级指标</w:t>
            </w:r>
          </w:p>
        </w:tc>
        <w:tc>
          <w:tcPr>
            <w:tcW w:w="2353" w:type="dxa"/>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指标解释</w:t>
            </w:r>
          </w:p>
        </w:tc>
        <w:tc>
          <w:tcPr>
            <w:tcW w:w="5198" w:type="dxa"/>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指标说明</w:t>
            </w:r>
          </w:p>
        </w:tc>
        <w:tc>
          <w:tcPr>
            <w:tcW w:w="1300" w:type="dxa"/>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权重</w:t>
            </w:r>
          </w:p>
        </w:tc>
        <w:tc>
          <w:tcPr>
            <w:tcW w:w="1363" w:type="dxa"/>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919" w:hRule="atLeast"/>
          <w:jc w:val="center"/>
        </w:trPr>
        <w:tc>
          <w:tcPr>
            <w:tcW w:w="832" w:type="dxa"/>
            <w:vMerge w:val="restart"/>
            <w:shd w:val="clear" w:color="auto" w:fill="FFFFFF"/>
            <w:vAlign w:val="center"/>
          </w:tcPr>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r>
              <w:rPr>
                <w:color w:val="000000"/>
                <w:kern w:val="0"/>
                <w:sz w:val="22"/>
                <w:szCs w:val="22"/>
              </w:rPr>
              <w:t>决策　</w:t>
            </w:r>
          </w:p>
        </w:tc>
        <w:tc>
          <w:tcPr>
            <w:tcW w:w="764"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项目立项　</w:t>
            </w: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立项依据</w:t>
            </w:r>
          </w:p>
          <w:p>
            <w:pPr>
              <w:widowControl/>
              <w:spacing w:line="0" w:lineRule="atLeast"/>
              <w:jc w:val="center"/>
              <w:rPr>
                <w:color w:val="000000"/>
                <w:kern w:val="0"/>
                <w:sz w:val="22"/>
                <w:szCs w:val="22"/>
              </w:rPr>
            </w:pPr>
            <w:r>
              <w:rPr>
                <w:color w:val="000000"/>
                <w:kern w:val="0"/>
                <w:sz w:val="22"/>
                <w:szCs w:val="22"/>
              </w:rPr>
              <w:t>充分性</w:t>
            </w:r>
          </w:p>
        </w:tc>
        <w:tc>
          <w:tcPr>
            <w:tcW w:w="2353" w:type="dxa"/>
            <w:shd w:val="clear" w:color="auto" w:fill="FFFFFF"/>
            <w:vAlign w:val="center"/>
          </w:tcPr>
          <w:p>
            <w:pPr>
              <w:widowControl/>
              <w:spacing w:line="0" w:lineRule="atLeast"/>
              <w:rPr>
                <w:color w:val="000000"/>
                <w:kern w:val="0"/>
                <w:sz w:val="22"/>
                <w:szCs w:val="22"/>
              </w:rPr>
            </w:pPr>
            <w:r>
              <w:rPr>
                <w:color w:val="000000"/>
                <w:kern w:val="0"/>
                <w:sz w:val="22"/>
                <w:szCs w:val="22"/>
              </w:rPr>
              <w:t>项目立项是否符合法律法规、相关政策、发展规划以及部门职责，用以反映和考核项目立项依据情况。</w:t>
            </w:r>
          </w:p>
        </w:tc>
        <w:tc>
          <w:tcPr>
            <w:tcW w:w="5198" w:type="dxa"/>
            <w:shd w:val="clear" w:color="auto" w:fill="FFFFFF"/>
            <w:vAlign w:val="center"/>
          </w:tcPr>
          <w:p>
            <w:pPr>
              <w:widowControl/>
              <w:spacing w:line="0" w:lineRule="atLeast"/>
              <w:jc w:val="left"/>
              <w:rPr>
                <w:rFonts w:hint="eastAsia" w:eastAsia="宋体"/>
                <w:color w:val="000000"/>
                <w:kern w:val="0"/>
                <w:sz w:val="22"/>
                <w:szCs w:val="22"/>
                <w:lang w:eastAsia="zh-CN"/>
              </w:rPr>
            </w:pPr>
            <w:r>
              <w:rPr>
                <w:color w:val="000000"/>
                <w:kern w:val="0"/>
                <w:sz w:val="22"/>
                <w:szCs w:val="22"/>
              </w:rPr>
              <w:t>评价要点：</w:t>
            </w:r>
          </w:p>
          <w:p>
            <w:pPr>
              <w:widowControl/>
              <w:spacing w:line="0" w:lineRule="atLeast"/>
              <w:jc w:val="left"/>
              <w:rPr>
                <w:rFonts w:hint="eastAsia" w:eastAsia="宋体"/>
                <w:color w:val="000000"/>
                <w:kern w:val="0"/>
                <w:sz w:val="22"/>
                <w:szCs w:val="22"/>
                <w:lang w:eastAsia="zh-CN"/>
              </w:rPr>
            </w:pPr>
            <w:r>
              <w:rPr>
                <w:color w:val="000000"/>
                <w:kern w:val="0"/>
                <w:sz w:val="22"/>
                <w:szCs w:val="22"/>
              </w:rPr>
              <w:t>①项目立项是否符合国家法律法规、国民经济发展规划和相关政策；</w:t>
            </w:r>
          </w:p>
          <w:p>
            <w:pPr>
              <w:widowControl/>
              <w:spacing w:line="0" w:lineRule="atLeast"/>
              <w:jc w:val="left"/>
              <w:rPr>
                <w:rFonts w:hint="eastAsia" w:eastAsia="宋体"/>
                <w:color w:val="000000"/>
                <w:kern w:val="0"/>
                <w:sz w:val="22"/>
                <w:szCs w:val="22"/>
                <w:lang w:eastAsia="zh-CN"/>
              </w:rPr>
            </w:pPr>
            <w:r>
              <w:rPr>
                <w:color w:val="000000"/>
                <w:kern w:val="0"/>
                <w:sz w:val="22"/>
                <w:szCs w:val="22"/>
              </w:rPr>
              <w:t>②项目立项是否符合行业发展规划和政策要求；</w:t>
            </w:r>
          </w:p>
          <w:p>
            <w:pPr>
              <w:widowControl/>
              <w:spacing w:line="0" w:lineRule="atLeast"/>
              <w:jc w:val="left"/>
              <w:rPr>
                <w:rFonts w:hint="eastAsia" w:eastAsia="宋体"/>
                <w:color w:val="000000"/>
                <w:kern w:val="0"/>
                <w:sz w:val="22"/>
                <w:szCs w:val="22"/>
                <w:lang w:eastAsia="zh-CN"/>
              </w:rPr>
            </w:pPr>
            <w:r>
              <w:rPr>
                <w:color w:val="000000"/>
                <w:kern w:val="0"/>
                <w:sz w:val="22"/>
                <w:szCs w:val="22"/>
              </w:rPr>
              <w:t>③项目立项是否与部门职责范围相符，属于部门履职所需；</w:t>
            </w:r>
          </w:p>
          <w:p>
            <w:pPr>
              <w:widowControl/>
              <w:spacing w:line="0" w:lineRule="atLeast"/>
              <w:jc w:val="left"/>
              <w:rPr>
                <w:rFonts w:hint="eastAsia" w:eastAsia="宋体"/>
                <w:color w:val="000000"/>
                <w:kern w:val="0"/>
                <w:sz w:val="22"/>
                <w:szCs w:val="22"/>
                <w:lang w:eastAsia="zh-CN"/>
              </w:rPr>
            </w:pPr>
            <w:r>
              <w:rPr>
                <w:color w:val="000000"/>
                <w:kern w:val="0"/>
                <w:sz w:val="22"/>
                <w:szCs w:val="22"/>
              </w:rPr>
              <w:t>④项目是否属于公共财政支持范围，是否符合中央、地方事权支出责任划分原则；</w:t>
            </w:r>
          </w:p>
          <w:p>
            <w:pPr>
              <w:widowControl/>
              <w:spacing w:line="0" w:lineRule="atLeast"/>
              <w:jc w:val="left"/>
              <w:rPr>
                <w:color w:val="000000"/>
                <w:kern w:val="0"/>
                <w:sz w:val="22"/>
                <w:szCs w:val="22"/>
              </w:rPr>
            </w:pPr>
            <w:r>
              <w:rPr>
                <w:color w:val="000000"/>
                <w:kern w:val="0"/>
                <w:sz w:val="22"/>
                <w:szCs w:val="22"/>
              </w:rPr>
              <w:t>⑤项目是否与相关部门同类项目或部门内部相关项目重复。</w:t>
            </w:r>
          </w:p>
        </w:tc>
        <w:tc>
          <w:tcPr>
            <w:tcW w:w="1300" w:type="dxa"/>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3</w:t>
            </w:r>
          </w:p>
        </w:tc>
        <w:tc>
          <w:tcPr>
            <w:tcW w:w="1363" w:type="dxa"/>
            <w:shd w:val="clear" w:color="auto" w:fill="FFFFFF"/>
            <w:vAlign w:val="center"/>
          </w:tcPr>
          <w:p>
            <w:pPr>
              <w:widowControl/>
              <w:spacing w:line="0" w:lineRule="atLeast"/>
              <w:jc w:val="center"/>
              <w:rPr>
                <w:rFonts w:hint="eastAsia" w:eastAsia="宋体"/>
                <w:b/>
                <w:bCs/>
                <w:color w:val="000000"/>
                <w:kern w:val="0"/>
                <w:sz w:val="22"/>
                <w:szCs w:val="22"/>
                <w:highlight w:val="none"/>
                <w:lang w:eastAsia="zh-CN"/>
              </w:rPr>
            </w:pPr>
            <w:r>
              <w:rPr>
                <w:rFonts w:hint="eastAsia"/>
                <w:b/>
                <w:bCs/>
                <w:color w:val="000000"/>
                <w:kern w:val="0"/>
                <w:sz w:val="22"/>
                <w:szCs w:val="22"/>
                <w:highlight w:val="none"/>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832" w:type="dxa"/>
            <w:vMerge w:val="continue"/>
            <w:shd w:val="clear" w:color="auto" w:fill="FFFFFF"/>
            <w:vAlign w:val="center"/>
          </w:tcPr>
          <w:p>
            <w:pPr>
              <w:spacing w:line="0" w:lineRule="atLeast"/>
              <w:jc w:val="center"/>
              <w:rPr>
                <w:color w:val="000000"/>
                <w:kern w:val="0"/>
                <w:sz w:val="22"/>
                <w:szCs w:val="22"/>
              </w:rPr>
            </w:pPr>
          </w:p>
        </w:tc>
        <w:tc>
          <w:tcPr>
            <w:tcW w:w="764" w:type="dxa"/>
            <w:vMerge w:val="continue"/>
            <w:shd w:val="clear" w:color="auto" w:fill="FFFFFF"/>
            <w:vAlign w:val="center"/>
          </w:tcPr>
          <w:p>
            <w:pPr>
              <w:widowControl/>
              <w:spacing w:line="0" w:lineRule="atLeast"/>
              <w:jc w:val="center"/>
              <w:rPr>
                <w:color w:val="000000"/>
                <w:kern w:val="0"/>
                <w:sz w:val="22"/>
                <w:szCs w:val="22"/>
              </w:rPr>
            </w:pP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立项程序</w:t>
            </w:r>
          </w:p>
          <w:p>
            <w:pPr>
              <w:widowControl/>
              <w:spacing w:line="0" w:lineRule="atLeast"/>
              <w:jc w:val="center"/>
              <w:rPr>
                <w:color w:val="000000"/>
                <w:kern w:val="0"/>
                <w:sz w:val="22"/>
                <w:szCs w:val="22"/>
              </w:rPr>
            </w:pPr>
            <w:r>
              <w:rPr>
                <w:color w:val="000000"/>
                <w:kern w:val="0"/>
                <w:sz w:val="22"/>
                <w:szCs w:val="22"/>
              </w:rPr>
              <w:t>规范性</w:t>
            </w:r>
          </w:p>
        </w:tc>
        <w:tc>
          <w:tcPr>
            <w:tcW w:w="2353" w:type="dxa"/>
            <w:shd w:val="clear" w:color="auto" w:fill="FFFFFF"/>
            <w:vAlign w:val="center"/>
          </w:tcPr>
          <w:p>
            <w:pPr>
              <w:widowControl/>
              <w:spacing w:line="0" w:lineRule="atLeast"/>
              <w:rPr>
                <w:color w:val="000000"/>
                <w:kern w:val="0"/>
                <w:sz w:val="22"/>
                <w:szCs w:val="22"/>
              </w:rPr>
            </w:pPr>
            <w:r>
              <w:rPr>
                <w:color w:val="000000"/>
                <w:kern w:val="0"/>
                <w:sz w:val="22"/>
                <w:szCs w:val="22"/>
              </w:rPr>
              <w:t>项目申请、设立过程是否符合相关要求，用以反映和考核项目立项的规范情况。</w:t>
            </w:r>
          </w:p>
        </w:tc>
        <w:tc>
          <w:tcPr>
            <w:tcW w:w="5198" w:type="dxa"/>
            <w:shd w:val="clear" w:color="auto" w:fill="FFFFFF"/>
            <w:vAlign w:val="center"/>
          </w:tcPr>
          <w:p>
            <w:pPr>
              <w:widowControl/>
              <w:spacing w:line="0" w:lineRule="atLeast"/>
              <w:jc w:val="left"/>
              <w:rPr>
                <w:rFonts w:hint="eastAsia" w:eastAsia="宋体"/>
                <w:color w:val="000000"/>
                <w:kern w:val="0"/>
                <w:sz w:val="22"/>
                <w:szCs w:val="22"/>
                <w:lang w:eastAsia="zh-CN"/>
              </w:rPr>
            </w:pPr>
            <w:r>
              <w:rPr>
                <w:color w:val="000000"/>
                <w:kern w:val="0"/>
                <w:sz w:val="22"/>
                <w:szCs w:val="22"/>
              </w:rPr>
              <w:t>评价要点：</w:t>
            </w:r>
          </w:p>
          <w:p>
            <w:pPr>
              <w:widowControl/>
              <w:spacing w:line="0" w:lineRule="atLeast"/>
              <w:jc w:val="left"/>
              <w:rPr>
                <w:rFonts w:hint="eastAsia" w:eastAsia="宋体"/>
                <w:color w:val="000000"/>
                <w:kern w:val="0"/>
                <w:sz w:val="22"/>
                <w:szCs w:val="22"/>
                <w:lang w:eastAsia="zh-CN"/>
              </w:rPr>
            </w:pPr>
            <w:r>
              <w:rPr>
                <w:color w:val="000000"/>
                <w:kern w:val="0"/>
                <w:sz w:val="22"/>
                <w:szCs w:val="22"/>
              </w:rPr>
              <w:t>①项目是否按照规定的程序申请设立；</w:t>
            </w:r>
          </w:p>
          <w:p>
            <w:pPr>
              <w:widowControl/>
              <w:spacing w:line="0" w:lineRule="atLeast"/>
              <w:jc w:val="left"/>
              <w:rPr>
                <w:rFonts w:hint="eastAsia" w:eastAsia="宋体"/>
                <w:color w:val="000000"/>
                <w:kern w:val="0"/>
                <w:sz w:val="22"/>
                <w:szCs w:val="22"/>
                <w:lang w:eastAsia="zh-CN"/>
              </w:rPr>
            </w:pPr>
            <w:r>
              <w:rPr>
                <w:color w:val="000000"/>
                <w:kern w:val="0"/>
                <w:sz w:val="22"/>
                <w:szCs w:val="22"/>
              </w:rPr>
              <w:t>②审批文件、材料是否符合相关要求；</w:t>
            </w:r>
          </w:p>
          <w:p>
            <w:pPr>
              <w:widowControl/>
              <w:spacing w:line="0" w:lineRule="atLeast"/>
              <w:jc w:val="left"/>
              <w:rPr>
                <w:color w:val="000000"/>
                <w:kern w:val="0"/>
                <w:sz w:val="22"/>
                <w:szCs w:val="22"/>
              </w:rPr>
            </w:pPr>
            <w:r>
              <w:rPr>
                <w:color w:val="000000"/>
                <w:kern w:val="0"/>
                <w:sz w:val="22"/>
                <w:szCs w:val="22"/>
              </w:rPr>
              <w:t>③事前是否已经过必要的可行性研究、专家论证、风险评估、绩效评估、集体决策。</w:t>
            </w:r>
          </w:p>
        </w:tc>
        <w:tc>
          <w:tcPr>
            <w:tcW w:w="1300" w:type="dxa"/>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3</w:t>
            </w:r>
          </w:p>
        </w:tc>
        <w:tc>
          <w:tcPr>
            <w:tcW w:w="1363" w:type="dxa"/>
            <w:shd w:val="clear" w:color="auto" w:fill="FFFFFF"/>
            <w:vAlign w:val="center"/>
          </w:tcPr>
          <w:p>
            <w:pPr>
              <w:widowControl/>
              <w:spacing w:line="0" w:lineRule="atLeast"/>
              <w:jc w:val="center"/>
              <w:rPr>
                <w:rFonts w:hint="eastAsia" w:eastAsia="宋体"/>
                <w:b/>
                <w:bCs/>
                <w:color w:val="000000"/>
                <w:kern w:val="0"/>
                <w:sz w:val="22"/>
                <w:szCs w:val="22"/>
                <w:highlight w:val="none"/>
                <w:lang w:eastAsia="zh-CN"/>
              </w:rPr>
            </w:pPr>
            <w:r>
              <w:rPr>
                <w:rFonts w:hint="eastAsia"/>
                <w:b/>
                <w:bCs/>
                <w:color w:val="000000"/>
                <w:kern w:val="0"/>
                <w:sz w:val="22"/>
                <w:szCs w:val="22"/>
                <w:highlight w:val="none"/>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832" w:type="dxa"/>
            <w:vMerge w:val="continue"/>
            <w:shd w:val="clear" w:color="auto" w:fill="FFFFFF"/>
            <w:vAlign w:val="center"/>
          </w:tcPr>
          <w:p>
            <w:pPr>
              <w:spacing w:line="0" w:lineRule="atLeast"/>
              <w:jc w:val="center"/>
              <w:rPr>
                <w:color w:val="000000"/>
                <w:kern w:val="0"/>
                <w:sz w:val="22"/>
                <w:szCs w:val="22"/>
              </w:rPr>
            </w:pPr>
          </w:p>
        </w:tc>
        <w:tc>
          <w:tcPr>
            <w:tcW w:w="764"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绩效目标　</w:t>
            </w: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绩效目标</w:t>
            </w:r>
          </w:p>
          <w:p>
            <w:pPr>
              <w:widowControl/>
              <w:spacing w:line="0" w:lineRule="atLeast"/>
              <w:jc w:val="center"/>
              <w:rPr>
                <w:color w:val="000000"/>
                <w:kern w:val="0"/>
                <w:sz w:val="22"/>
                <w:szCs w:val="22"/>
              </w:rPr>
            </w:pPr>
            <w:r>
              <w:rPr>
                <w:color w:val="000000"/>
                <w:kern w:val="0"/>
                <w:sz w:val="22"/>
                <w:szCs w:val="22"/>
              </w:rPr>
              <w:t>合理性</w:t>
            </w:r>
          </w:p>
        </w:tc>
        <w:tc>
          <w:tcPr>
            <w:tcW w:w="2353" w:type="dxa"/>
            <w:shd w:val="clear" w:color="000000" w:fill="FFFFFF"/>
            <w:vAlign w:val="center"/>
          </w:tcPr>
          <w:p>
            <w:pPr>
              <w:widowControl/>
              <w:spacing w:line="0" w:lineRule="atLeast"/>
              <w:rPr>
                <w:color w:val="000000"/>
                <w:kern w:val="0"/>
                <w:sz w:val="22"/>
                <w:szCs w:val="22"/>
              </w:rPr>
            </w:pPr>
            <w:r>
              <w:rPr>
                <w:color w:val="000000"/>
                <w:kern w:val="0"/>
                <w:sz w:val="22"/>
                <w:szCs w:val="22"/>
              </w:rPr>
              <w:t>项目所设定的绩效目标是否依据充分，是否符合客观实际，用以反映和考核项目绩效目标与项目实施的相符情况。</w:t>
            </w:r>
          </w:p>
        </w:tc>
        <w:tc>
          <w:tcPr>
            <w:tcW w:w="5198" w:type="dxa"/>
            <w:shd w:val="clear" w:color="000000" w:fill="FFFFFF"/>
            <w:vAlign w:val="center"/>
          </w:tcPr>
          <w:p>
            <w:pPr>
              <w:widowControl/>
              <w:spacing w:line="0" w:lineRule="atLeast"/>
              <w:jc w:val="left"/>
              <w:rPr>
                <w:rFonts w:hint="eastAsia" w:eastAsia="宋体"/>
                <w:color w:val="000000"/>
                <w:kern w:val="0"/>
                <w:sz w:val="22"/>
                <w:szCs w:val="22"/>
                <w:lang w:eastAsia="zh-CN"/>
              </w:rPr>
            </w:pPr>
            <w:r>
              <w:rPr>
                <w:color w:val="000000"/>
                <w:kern w:val="0"/>
                <w:sz w:val="22"/>
                <w:szCs w:val="22"/>
              </w:rPr>
              <w:t>评价要点：</w:t>
            </w:r>
          </w:p>
          <w:p>
            <w:pPr>
              <w:widowControl/>
              <w:spacing w:line="0" w:lineRule="atLeast"/>
              <w:jc w:val="left"/>
              <w:rPr>
                <w:rFonts w:hint="eastAsia" w:eastAsia="宋体"/>
                <w:color w:val="000000"/>
                <w:kern w:val="0"/>
                <w:sz w:val="22"/>
                <w:szCs w:val="22"/>
                <w:lang w:eastAsia="zh-CN"/>
              </w:rPr>
            </w:pPr>
            <w:r>
              <w:rPr>
                <w:color w:val="000000"/>
                <w:kern w:val="0"/>
                <w:sz w:val="22"/>
                <w:szCs w:val="22"/>
              </w:rPr>
              <w:t>（如未设定预算绩效目标，也可考核其他工作任务目标）</w:t>
            </w:r>
          </w:p>
          <w:p>
            <w:pPr>
              <w:widowControl/>
              <w:spacing w:line="0" w:lineRule="atLeast"/>
              <w:jc w:val="left"/>
              <w:rPr>
                <w:rFonts w:hint="eastAsia" w:eastAsia="宋体"/>
                <w:color w:val="000000"/>
                <w:kern w:val="0"/>
                <w:sz w:val="22"/>
                <w:szCs w:val="22"/>
                <w:lang w:eastAsia="zh-CN"/>
              </w:rPr>
            </w:pPr>
            <w:r>
              <w:rPr>
                <w:color w:val="000000"/>
                <w:kern w:val="0"/>
                <w:sz w:val="22"/>
                <w:szCs w:val="22"/>
              </w:rPr>
              <w:t>①项目是否有绩效目标；</w:t>
            </w:r>
          </w:p>
          <w:p>
            <w:pPr>
              <w:widowControl/>
              <w:spacing w:line="0" w:lineRule="atLeast"/>
              <w:jc w:val="left"/>
              <w:rPr>
                <w:rFonts w:hint="eastAsia" w:eastAsia="宋体"/>
                <w:color w:val="000000"/>
                <w:kern w:val="0"/>
                <w:sz w:val="22"/>
                <w:szCs w:val="22"/>
                <w:lang w:eastAsia="zh-CN"/>
              </w:rPr>
            </w:pPr>
            <w:r>
              <w:rPr>
                <w:color w:val="000000"/>
                <w:kern w:val="0"/>
                <w:sz w:val="22"/>
                <w:szCs w:val="22"/>
              </w:rPr>
              <w:t>②项目绩效目标与实际工作内容是否具有相关性；</w:t>
            </w:r>
          </w:p>
          <w:p>
            <w:pPr>
              <w:widowControl/>
              <w:spacing w:line="0" w:lineRule="atLeast"/>
              <w:jc w:val="left"/>
              <w:rPr>
                <w:color w:val="000000"/>
                <w:kern w:val="0"/>
                <w:sz w:val="22"/>
                <w:szCs w:val="22"/>
              </w:rPr>
            </w:pPr>
            <w:r>
              <w:rPr>
                <w:color w:val="000000"/>
                <w:kern w:val="0"/>
                <w:sz w:val="22"/>
                <w:szCs w:val="22"/>
              </w:rPr>
              <w:t>③项目预期产出效益和效果是否符合正常的业绩水平；</w:t>
            </w:r>
          </w:p>
          <w:p>
            <w:pPr>
              <w:widowControl/>
              <w:spacing w:line="0" w:lineRule="atLeast"/>
              <w:jc w:val="left"/>
              <w:rPr>
                <w:color w:val="000000"/>
                <w:kern w:val="0"/>
                <w:sz w:val="22"/>
                <w:szCs w:val="22"/>
              </w:rPr>
            </w:pPr>
            <w:r>
              <w:rPr>
                <w:color w:val="000000"/>
                <w:kern w:val="0"/>
                <w:sz w:val="22"/>
                <w:szCs w:val="22"/>
              </w:rPr>
              <w:t>④是否与预算确定的项目投资额或资金量相匹配。</w:t>
            </w:r>
          </w:p>
        </w:tc>
        <w:tc>
          <w:tcPr>
            <w:tcW w:w="1300" w:type="dxa"/>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3</w:t>
            </w:r>
          </w:p>
        </w:tc>
        <w:tc>
          <w:tcPr>
            <w:tcW w:w="1363" w:type="dxa"/>
            <w:shd w:val="clear" w:color="000000" w:fill="FFFFFF"/>
            <w:vAlign w:val="center"/>
          </w:tcPr>
          <w:p>
            <w:pPr>
              <w:widowControl/>
              <w:spacing w:line="0" w:lineRule="atLeast"/>
              <w:jc w:val="center"/>
              <w:rPr>
                <w:rFonts w:hint="eastAsia" w:eastAsia="宋体"/>
                <w:b/>
                <w:bCs/>
                <w:color w:val="000000"/>
                <w:kern w:val="0"/>
                <w:sz w:val="22"/>
                <w:szCs w:val="22"/>
                <w:highlight w:val="none"/>
                <w:lang w:eastAsia="zh-CN"/>
              </w:rPr>
            </w:pPr>
            <w:r>
              <w:rPr>
                <w:rFonts w:hint="eastAsia"/>
                <w:b/>
                <w:bCs/>
                <w:color w:val="000000"/>
                <w:kern w:val="0"/>
                <w:sz w:val="22"/>
                <w:szCs w:val="22"/>
                <w:highlight w:val="none"/>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64" w:hRule="atLeast"/>
          <w:jc w:val="center"/>
        </w:trPr>
        <w:tc>
          <w:tcPr>
            <w:tcW w:w="832" w:type="dxa"/>
            <w:vMerge w:val="continue"/>
            <w:shd w:val="clear" w:color="auto" w:fill="FFFFFF"/>
            <w:vAlign w:val="center"/>
          </w:tcPr>
          <w:p>
            <w:pPr>
              <w:widowControl/>
              <w:spacing w:line="0" w:lineRule="atLeast"/>
              <w:jc w:val="center"/>
              <w:rPr>
                <w:color w:val="000000"/>
                <w:kern w:val="0"/>
                <w:sz w:val="22"/>
                <w:szCs w:val="22"/>
              </w:rPr>
            </w:pPr>
          </w:p>
        </w:tc>
        <w:tc>
          <w:tcPr>
            <w:tcW w:w="764" w:type="dxa"/>
            <w:vMerge w:val="continue"/>
            <w:shd w:val="clear" w:color="auto" w:fill="FFFFFF"/>
            <w:vAlign w:val="center"/>
          </w:tcPr>
          <w:p>
            <w:pPr>
              <w:widowControl/>
              <w:spacing w:line="0" w:lineRule="atLeast"/>
              <w:jc w:val="center"/>
              <w:rPr>
                <w:color w:val="000000"/>
                <w:kern w:val="0"/>
                <w:sz w:val="22"/>
                <w:szCs w:val="22"/>
              </w:rPr>
            </w:pP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绩效指标</w:t>
            </w:r>
          </w:p>
          <w:p>
            <w:pPr>
              <w:widowControl/>
              <w:spacing w:line="0" w:lineRule="atLeast"/>
              <w:jc w:val="center"/>
              <w:rPr>
                <w:color w:val="000000"/>
                <w:kern w:val="0"/>
                <w:sz w:val="22"/>
                <w:szCs w:val="22"/>
              </w:rPr>
            </w:pPr>
            <w:r>
              <w:rPr>
                <w:color w:val="000000"/>
                <w:kern w:val="0"/>
                <w:sz w:val="22"/>
                <w:szCs w:val="22"/>
              </w:rPr>
              <w:t>明确性</w:t>
            </w:r>
          </w:p>
        </w:tc>
        <w:tc>
          <w:tcPr>
            <w:tcW w:w="2353" w:type="dxa"/>
            <w:shd w:val="clear" w:color="000000" w:fill="FFFFFF"/>
            <w:vAlign w:val="center"/>
          </w:tcPr>
          <w:p>
            <w:pPr>
              <w:widowControl/>
              <w:spacing w:line="0" w:lineRule="atLeast"/>
              <w:rPr>
                <w:color w:val="000000"/>
                <w:kern w:val="0"/>
                <w:sz w:val="22"/>
                <w:szCs w:val="22"/>
              </w:rPr>
            </w:pPr>
            <w:r>
              <w:rPr>
                <w:color w:val="000000"/>
                <w:kern w:val="0"/>
                <w:sz w:val="22"/>
                <w:szCs w:val="22"/>
              </w:rPr>
              <w:t>依据绩效目标设定的绩效指标是否清晰、细化、可衡量等，用以反映和考核项目绩效目标的明细化情况。</w:t>
            </w:r>
          </w:p>
        </w:tc>
        <w:tc>
          <w:tcPr>
            <w:tcW w:w="5198" w:type="dxa"/>
            <w:shd w:val="clear" w:color="000000" w:fill="FFFFFF"/>
            <w:vAlign w:val="center"/>
          </w:tcPr>
          <w:p>
            <w:pPr>
              <w:widowControl/>
              <w:spacing w:line="0" w:lineRule="atLeast"/>
              <w:rPr>
                <w:rFonts w:hint="eastAsia" w:eastAsia="宋体"/>
                <w:color w:val="000000"/>
                <w:kern w:val="0"/>
                <w:sz w:val="22"/>
                <w:szCs w:val="22"/>
                <w:lang w:eastAsia="zh-CN"/>
              </w:rPr>
            </w:pPr>
            <w:r>
              <w:rPr>
                <w:color w:val="000000"/>
                <w:kern w:val="0"/>
                <w:sz w:val="22"/>
                <w:szCs w:val="22"/>
              </w:rPr>
              <w:t>评价要点：</w:t>
            </w:r>
          </w:p>
          <w:p>
            <w:pPr>
              <w:widowControl/>
              <w:spacing w:line="0" w:lineRule="atLeast"/>
              <w:rPr>
                <w:rFonts w:hint="eastAsia" w:eastAsia="宋体"/>
                <w:color w:val="000000"/>
                <w:kern w:val="0"/>
                <w:sz w:val="22"/>
                <w:szCs w:val="22"/>
                <w:lang w:eastAsia="zh-CN"/>
              </w:rPr>
            </w:pPr>
            <w:r>
              <w:rPr>
                <w:color w:val="000000"/>
                <w:kern w:val="0"/>
                <w:sz w:val="22"/>
                <w:szCs w:val="22"/>
              </w:rPr>
              <w:t>①是否将项目绩效目标细化分解为具体的绩效指标；</w:t>
            </w:r>
          </w:p>
          <w:p>
            <w:pPr>
              <w:widowControl/>
              <w:spacing w:line="0" w:lineRule="atLeast"/>
              <w:rPr>
                <w:rFonts w:hint="eastAsia" w:eastAsia="宋体"/>
                <w:color w:val="000000"/>
                <w:kern w:val="0"/>
                <w:sz w:val="22"/>
                <w:szCs w:val="22"/>
                <w:lang w:eastAsia="zh-CN"/>
              </w:rPr>
            </w:pPr>
            <w:r>
              <w:rPr>
                <w:color w:val="000000"/>
                <w:kern w:val="0"/>
                <w:sz w:val="22"/>
                <w:szCs w:val="22"/>
              </w:rPr>
              <w:t>②是否通过清晰、可衡量的指标值予以体现；</w:t>
            </w:r>
          </w:p>
          <w:p>
            <w:pPr>
              <w:widowControl/>
              <w:spacing w:line="0" w:lineRule="atLeast"/>
              <w:rPr>
                <w:rFonts w:hint="eastAsia" w:eastAsia="宋体"/>
                <w:color w:val="000000"/>
                <w:kern w:val="0"/>
                <w:sz w:val="22"/>
                <w:szCs w:val="22"/>
                <w:lang w:eastAsia="zh-CN"/>
              </w:rPr>
            </w:pPr>
            <w:r>
              <w:rPr>
                <w:color w:val="000000"/>
                <w:kern w:val="0"/>
                <w:sz w:val="22"/>
                <w:szCs w:val="22"/>
              </w:rPr>
              <w:t>③是否与项目目标任务数或计划数相对应。</w:t>
            </w:r>
          </w:p>
          <w:p>
            <w:pPr>
              <w:pStyle w:val="2"/>
              <w:rPr>
                <w:rFonts w:hint="eastAsia"/>
                <w:lang w:eastAsia="zh-CN"/>
              </w:rPr>
            </w:pPr>
          </w:p>
        </w:tc>
        <w:tc>
          <w:tcPr>
            <w:tcW w:w="1300" w:type="dxa"/>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3</w:t>
            </w:r>
          </w:p>
        </w:tc>
        <w:tc>
          <w:tcPr>
            <w:tcW w:w="1363" w:type="dxa"/>
            <w:shd w:val="clear" w:color="000000" w:fill="FFFFFF"/>
            <w:vAlign w:val="center"/>
          </w:tcPr>
          <w:p>
            <w:pPr>
              <w:widowControl/>
              <w:spacing w:line="0" w:lineRule="atLeast"/>
              <w:jc w:val="center"/>
              <w:rPr>
                <w:rFonts w:hint="eastAsia" w:eastAsia="宋体"/>
                <w:b/>
                <w:bCs/>
                <w:color w:val="000000"/>
                <w:kern w:val="0"/>
                <w:sz w:val="22"/>
                <w:szCs w:val="22"/>
                <w:highlight w:val="none"/>
                <w:lang w:eastAsia="zh-CN"/>
              </w:rPr>
            </w:pPr>
            <w:r>
              <w:rPr>
                <w:rFonts w:hint="eastAsia"/>
                <w:b/>
                <w:bCs/>
                <w:color w:val="000000"/>
                <w:kern w:val="0"/>
                <w:sz w:val="22"/>
                <w:szCs w:val="22"/>
                <w:highlight w:val="none"/>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42" w:hRule="atLeast"/>
          <w:jc w:val="center"/>
        </w:trPr>
        <w:tc>
          <w:tcPr>
            <w:tcW w:w="832" w:type="dxa"/>
            <w:vMerge w:val="continue"/>
            <w:shd w:val="clear" w:color="auto" w:fill="FFFFFF"/>
            <w:vAlign w:val="center"/>
          </w:tcPr>
          <w:p>
            <w:pPr>
              <w:spacing w:line="0" w:lineRule="atLeast"/>
              <w:jc w:val="center"/>
              <w:rPr>
                <w:color w:val="000000"/>
                <w:kern w:val="0"/>
                <w:sz w:val="22"/>
                <w:szCs w:val="22"/>
              </w:rPr>
            </w:pPr>
          </w:p>
        </w:tc>
        <w:tc>
          <w:tcPr>
            <w:tcW w:w="764"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资金投入</w:t>
            </w:r>
          </w:p>
          <w:p>
            <w:pPr>
              <w:spacing w:line="0" w:lineRule="atLeast"/>
              <w:jc w:val="center"/>
              <w:rPr>
                <w:color w:val="000000"/>
                <w:kern w:val="0"/>
                <w:sz w:val="22"/>
                <w:szCs w:val="22"/>
              </w:rPr>
            </w:pPr>
            <w:r>
              <w:rPr>
                <w:color w:val="000000"/>
                <w:kern w:val="0"/>
                <w:sz w:val="22"/>
                <w:szCs w:val="22"/>
              </w:rPr>
              <w:t>　</w:t>
            </w: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预算编制</w:t>
            </w:r>
          </w:p>
          <w:p>
            <w:pPr>
              <w:widowControl/>
              <w:spacing w:line="0" w:lineRule="atLeast"/>
              <w:jc w:val="center"/>
              <w:rPr>
                <w:color w:val="000000"/>
                <w:kern w:val="0"/>
                <w:sz w:val="22"/>
                <w:szCs w:val="22"/>
              </w:rPr>
            </w:pPr>
            <w:r>
              <w:rPr>
                <w:color w:val="000000"/>
                <w:kern w:val="0"/>
                <w:sz w:val="22"/>
                <w:szCs w:val="22"/>
              </w:rPr>
              <w:t>科学性</w:t>
            </w:r>
          </w:p>
        </w:tc>
        <w:tc>
          <w:tcPr>
            <w:tcW w:w="2353" w:type="dxa"/>
            <w:shd w:val="clear" w:color="auto" w:fill="FFFFFF"/>
            <w:vAlign w:val="center"/>
          </w:tcPr>
          <w:p>
            <w:pPr>
              <w:widowControl/>
              <w:spacing w:line="0" w:lineRule="atLeast"/>
              <w:rPr>
                <w:color w:val="000000"/>
                <w:kern w:val="0"/>
                <w:sz w:val="22"/>
                <w:szCs w:val="22"/>
              </w:rPr>
            </w:pPr>
            <w:r>
              <w:rPr>
                <w:color w:val="000000"/>
                <w:kern w:val="0"/>
                <w:sz w:val="22"/>
                <w:szCs w:val="22"/>
              </w:rPr>
              <w:t>项目预算编制是否经过科学论证、有明确标准，资金额度与年度目标是否相适应，用以反映和考核项目预算编制的科学性、合理性情况。</w:t>
            </w:r>
          </w:p>
        </w:tc>
        <w:tc>
          <w:tcPr>
            <w:tcW w:w="5198" w:type="dxa"/>
            <w:shd w:val="clear" w:color="auto" w:fill="FFFFFF"/>
            <w:vAlign w:val="center"/>
          </w:tcPr>
          <w:p>
            <w:pPr>
              <w:widowControl/>
              <w:spacing w:line="0" w:lineRule="atLeast"/>
              <w:rPr>
                <w:rFonts w:hint="eastAsia" w:eastAsia="宋体"/>
                <w:color w:val="000000"/>
                <w:kern w:val="0"/>
                <w:sz w:val="22"/>
                <w:szCs w:val="22"/>
                <w:lang w:eastAsia="zh-CN"/>
              </w:rPr>
            </w:pPr>
            <w:r>
              <w:rPr>
                <w:color w:val="000000"/>
                <w:kern w:val="0"/>
                <w:sz w:val="22"/>
                <w:szCs w:val="22"/>
              </w:rPr>
              <w:t>评价要点：</w:t>
            </w:r>
          </w:p>
          <w:p>
            <w:pPr>
              <w:widowControl/>
              <w:spacing w:line="0" w:lineRule="atLeast"/>
              <w:rPr>
                <w:rFonts w:hint="eastAsia" w:eastAsia="宋体"/>
                <w:color w:val="000000"/>
                <w:kern w:val="0"/>
                <w:sz w:val="22"/>
                <w:szCs w:val="22"/>
                <w:lang w:eastAsia="zh-CN"/>
              </w:rPr>
            </w:pPr>
            <w:r>
              <w:rPr>
                <w:color w:val="000000"/>
                <w:kern w:val="0"/>
                <w:sz w:val="22"/>
                <w:szCs w:val="22"/>
              </w:rPr>
              <w:t>①预算编制是否经过科学论证；</w:t>
            </w:r>
          </w:p>
          <w:p>
            <w:pPr>
              <w:widowControl/>
              <w:spacing w:line="0" w:lineRule="atLeast"/>
              <w:rPr>
                <w:rFonts w:hint="eastAsia" w:eastAsia="宋体"/>
                <w:color w:val="000000"/>
                <w:kern w:val="0"/>
                <w:sz w:val="22"/>
                <w:szCs w:val="22"/>
                <w:lang w:eastAsia="zh-CN"/>
              </w:rPr>
            </w:pPr>
            <w:r>
              <w:rPr>
                <w:color w:val="000000"/>
                <w:kern w:val="0"/>
                <w:sz w:val="22"/>
                <w:szCs w:val="22"/>
              </w:rPr>
              <w:t>②预算内容与项目内容是否匹配；</w:t>
            </w:r>
          </w:p>
          <w:p>
            <w:pPr>
              <w:widowControl/>
              <w:spacing w:line="0" w:lineRule="atLeast"/>
              <w:rPr>
                <w:rFonts w:hint="eastAsia" w:eastAsia="宋体"/>
                <w:color w:val="000000"/>
                <w:kern w:val="0"/>
                <w:sz w:val="22"/>
                <w:szCs w:val="22"/>
                <w:lang w:eastAsia="zh-CN"/>
              </w:rPr>
            </w:pPr>
            <w:r>
              <w:rPr>
                <w:color w:val="000000"/>
                <w:kern w:val="0"/>
                <w:sz w:val="22"/>
                <w:szCs w:val="22"/>
              </w:rPr>
              <w:t>③预算额度测算依据是否充分，是否按照标准编制；</w:t>
            </w:r>
          </w:p>
          <w:p>
            <w:pPr>
              <w:widowControl/>
              <w:spacing w:line="0" w:lineRule="atLeast"/>
              <w:rPr>
                <w:color w:val="000000"/>
                <w:kern w:val="0"/>
                <w:sz w:val="22"/>
                <w:szCs w:val="22"/>
              </w:rPr>
            </w:pPr>
            <w:r>
              <w:rPr>
                <w:color w:val="000000"/>
                <w:kern w:val="0"/>
                <w:sz w:val="22"/>
                <w:szCs w:val="22"/>
              </w:rPr>
              <w:t>④预算确定的项目投资额或资金量是否与工作任务相匹配。</w:t>
            </w:r>
          </w:p>
        </w:tc>
        <w:tc>
          <w:tcPr>
            <w:tcW w:w="1300" w:type="dxa"/>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1363" w:type="dxa"/>
            <w:shd w:val="clear" w:color="auto" w:fill="FFFFFF"/>
            <w:vAlign w:val="center"/>
          </w:tcPr>
          <w:p>
            <w:pPr>
              <w:widowControl/>
              <w:spacing w:line="0" w:lineRule="atLeast"/>
              <w:jc w:val="center"/>
              <w:rPr>
                <w:rFonts w:hint="eastAsia" w:eastAsia="宋体"/>
                <w:b/>
                <w:bCs/>
                <w:color w:val="000000"/>
                <w:kern w:val="0"/>
                <w:sz w:val="22"/>
                <w:szCs w:val="22"/>
                <w:highlight w:val="none"/>
                <w:lang w:eastAsia="zh-CN"/>
              </w:rPr>
            </w:pPr>
            <w:r>
              <w:rPr>
                <w:rFonts w:hint="eastAsia"/>
                <w:b/>
                <w:bCs/>
                <w:color w:val="000000"/>
                <w:kern w:val="0"/>
                <w:sz w:val="22"/>
                <w:szCs w:val="22"/>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06" w:hRule="atLeast"/>
          <w:jc w:val="center"/>
        </w:trPr>
        <w:tc>
          <w:tcPr>
            <w:tcW w:w="832" w:type="dxa"/>
            <w:vMerge w:val="continue"/>
            <w:shd w:val="clear" w:color="auto" w:fill="FFFFFF"/>
            <w:vAlign w:val="center"/>
          </w:tcPr>
          <w:p>
            <w:pPr>
              <w:widowControl/>
              <w:spacing w:line="0" w:lineRule="atLeast"/>
              <w:jc w:val="center"/>
              <w:rPr>
                <w:color w:val="000000"/>
                <w:kern w:val="0"/>
                <w:sz w:val="22"/>
                <w:szCs w:val="22"/>
              </w:rPr>
            </w:pPr>
          </w:p>
        </w:tc>
        <w:tc>
          <w:tcPr>
            <w:tcW w:w="764" w:type="dxa"/>
            <w:vMerge w:val="continue"/>
            <w:shd w:val="clear" w:color="auto" w:fill="FFFFFF"/>
            <w:vAlign w:val="center"/>
          </w:tcPr>
          <w:p>
            <w:pPr>
              <w:widowControl/>
              <w:spacing w:line="0" w:lineRule="atLeast"/>
              <w:jc w:val="center"/>
              <w:rPr>
                <w:color w:val="000000"/>
                <w:kern w:val="0"/>
                <w:sz w:val="22"/>
                <w:szCs w:val="22"/>
              </w:rPr>
            </w:pP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资金分配</w:t>
            </w:r>
          </w:p>
          <w:p>
            <w:pPr>
              <w:widowControl/>
              <w:spacing w:line="0" w:lineRule="atLeast"/>
              <w:jc w:val="center"/>
              <w:rPr>
                <w:color w:val="000000"/>
                <w:kern w:val="0"/>
                <w:sz w:val="22"/>
                <w:szCs w:val="22"/>
              </w:rPr>
            </w:pPr>
            <w:r>
              <w:rPr>
                <w:color w:val="000000"/>
                <w:kern w:val="0"/>
                <w:sz w:val="22"/>
                <w:szCs w:val="22"/>
              </w:rPr>
              <w:t>合理性</w:t>
            </w:r>
          </w:p>
        </w:tc>
        <w:tc>
          <w:tcPr>
            <w:tcW w:w="2353" w:type="dxa"/>
            <w:shd w:val="clear" w:color="auto" w:fill="FFFFFF"/>
            <w:vAlign w:val="center"/>
          </w:tcPr>
          <w:p>
            <w:pPr>
              <w:widowControl/>
              <w:spacing w:line="0" w:lineRule="atLeast"/>
              <w:rPr>
                <w:color w:val="000000"/>
                <w:kern w:val="0"/>
                <w:sz w:val="22"/>
                <w:szCs w:val="22"/>
              </w:rPr>
            </w:pPr>
            <w:r>
              <w:rPr>
                <w:color w:val="000000"/>
                <w:kern w:val="0"/>
                <w:sz w:val="22"/>
                <w:szCs w:val="22"/>
              </w:rPr>
              <w:t>项目预算资金分配是否有测算依据，与补助单位或地方实际是否相适应，用以反映和考核项目预算资金分配的科学性、合理性情况。</w:t>
            </w:r>
          </w:p>
        </w:tc>
        <w:tc>
          <w:tcPr>
            <w:tcW w:w="5198" w:type="dxa"/>
            <w:shd w:val="clear" w:color="auto" w:fill="FFFFFF"/>
            <w:vAlign w:val="center"/>
          </w:tcPr>
          <w:p>
            <w:pPr>
              <w:widowControl/>
              <w:spacing w:line="0" w:lineRule="atLeast"/>
              <w:rPr>
                <w:rFonts w:hint="eastAsia" w:eastAsia="宋体"/>
                <w:color w:val="000000"/>
                <w:kern w:val="0"/>
                <w:sz w:val="22"/>
                <w:szCs w:val="22"/>
                <w:lang w:eastAsia="zh-CN"/>
              </w:rPr>
            </w:pPr>
            <w:r>
              <w:rPr>
                <w:color w:val="000000"/>
                <w:kern w:val="0"/>
                <w:sz w:val="22"/>
                <w:szCs w:val="22"/>
              </w:rPr>
              <w:t>评价要点：</w:t>
            </w:r>
          </w:p>
          <w:p>
            <w:pPr>
              <w:widowControl/>
              <w:spacing w:line="0" w:lineRule="atLeast"/>
              <w:rPr>
                <w:rFonts w:hint="eastAsia" w:eastAsia="宋体"/>
                <w:color w:val="000000"/>
                <w:kern w:val="0"/>
                <w:sz w:val="22"/>
                <w:szCs w:val="22"/>
                <w:lang w:eastAsia="zh-CN"/>
              </w:rPr>
            </w:pPr>
            <w:r>
              <w:rPr>
                <w:color w:val="000000"/>
                <w:kern w:val="0"/>
                <w:sz w:val="22"/>
                <w:szCs w:val="22"/>
              </w:rPr>
              <w:t>①预算资金分配依据是否充分；</w:t>
            </w:r>
          </w:p>
          <w:p>
            <w:pPr>
              <w:widowControl/>
              <w:spacing w:line="0" w:lineRule="atLeast"/>
              <w:rPr>
                <w:color w:val="000000"/>
                <w:kern w:val="0"/>
                <w:sz w:val="22"/>
                <w:szCs w:val="22"/>
              </w:rPr>
            </w:pPr>
            <w:r>
              <w:rPr>
                <w:color w:val="000000"/>
                <w:kern w:val="0"/>
                <w:sz w:val="22"/>
                <w:szCs w:val="22"/>
              </w:rPr>
              <w:t>②资金分配额度是否合理，与项目单位或地方实际是否相适应。</w:t>
            </w:r>
          </w:p>
        </w:tc>
        <w:tc>
          <w:tcPr>
            <w:tcW w:w="1300" w:type="dxa"/>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1363" w:type="dxa"/>
            <w:shd w:val="clear" w:color="auto" w:fill="FFFFFF"/>
            <w:vAlign w:val="center"/>
          </w:tcPr>
          <w:p>
            <w:pPr>
              <w:widowControl/>
              <w:spacing w:line="0" w:lineRule="atLeast"/>
              <w:jc w:val="center"/>
              <w:rPr>
                <w:rFonts w:hint="eastAsia" w:eastAsia="宋体"/>
                <w:b/>
                <w:bCs/>
                <w:color w:val="000000"/>
                <w:kern w:val="0"/>
                <w:sz w:val="22"/>
                <w:szCs w:val="22"/>
                <w:highlight w:val="none"/>
                <w:lang w:eastAsia="zh-CN"/>
              </w:rPr>
            </w:pPr>
            <w:r>
              <w:rPr>
                <w:rFonts w:hint="eastAsia"/>
                <w:b/>
                <w:bCs/>
                <w:color w:val="000000"/>
                <w:kern w:val="0"/>
                <w:sz w:val="22"/>
                <w:szCs w:val="22"/>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15" w:hRule="atLeast"/>
          <w:jc w:val="center"/>
        </w:trPr>
        <w:tc>
          <w:tcPr>
            <w:tcW w:w="832" w:type="dxa"/>
            <w:vMerge w:val="restart"/>
            <w:shd w:val="clear" w:color="auto" w:fill="FFFFFF"/>
            <w:vAlign w:val="center"/>
          </w:tcPr>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r>
              <w:rPr>
                <w:color w:val="000000"/>
                <w:kern w:val="0"/>
                <w:sz w:val="22"/>
                <w:szCs w:val="22"/>
              </w:rPr>
              <w:t>过程</w:t>
            </w:r>
          </w:p>
          <w:p>
            <w:pPr>
              <w:widowControl/>
              <w:spacing w:line="0" w:lineRule="atLeast"/>
              <w:jc w:val="center"/>
              <w:rPr>
                <w:color w:val="000000"/>
                <w:kern w:val="0"/>
                <w:sz w:val="22"/>
                <w:szCs w:val="22"/>
              </w:rPr>
            </w:pPr>
            <w:r>
              <w:rPr>
                <w:color w:val="000000"/>
                <w:kern w:val="0"/>
                <w:sz w:val="22"/>
                <w:szCs w:val="22"/>
              </w:rPr>
              <w:t>　　</w:t>
            </w:r>
          </w:p>
        </w:tc>
        <w:tc>
          <w:tcPr>
            <w:tcW w:w="764"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资金管理</w:t>
            </w: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资金到位率</w:t>
            </w:r>
          </w:p>
        </w:tc>
        <w:tc>
          <w:tcPr>
            <w:tcW w:w="2353" w:type="dxa"/>
            <w:shd w:val="clear" w:color="000000" w:fill="FFFFFF"/>
            <w:vAlign w:val="center"/>
          </w:tcPr>
          <w:p>
            <w:pPr>
              <w:widowControl/>
              <w:spacing w:line="0" w:lineRule="atLeast"/>
              <w:rPr>
                <w:color w:val="000000"/>
                <w:kern w:val="0"/>
                <w:sz w:val="22"/>
                <w:szCs w:val="22"/>
              </w:rPr>
            </w:pPr>
            <w:r>
              <w:rPr>
                <w:color w:val="000000"/>
                <w:kern w:val="0"/>
                <w:sz w:val="22"/>
                <w:szCs w:val="22"/>
              </w:rPr>
              <w:t>实际到位资金与预算资金的比率，用以反映和考核资金落实情况对项目实施的总体保障程度。</w:t>
            </w:r>
          </w:p>
        </w:tc>
        <w:tc>
          <w:tcPr>
            <w:tcW w:w="5198" w:type="dxa"/>
            <w:shd w:val="clear" w:color="000000" w:fill="FFFFFF"/>
            <w:vAlign w:val="center"/>
          </w:tcPr>
          <w:p>
            <w:pPr>
              <w:widowControl/>
              <w:spacing w:line="0" w:lineRule="atLeast"/>
              <w:rPr>
                <w:color w:val="000000"/>
                <w:kern w:val="0"/>
                <w:sz w:val="22"/>
                <w:szCs w:val="22"/>
              </w:rPr>
            </w:pPr>
            <w:r>
              <w:rPr>
                <w:color w:val="000000"/>
                <w:kern w:val="0"/>
                <w:sz w:val="22"/>
                <w:szCs w:val="22"/>
              </w:rPr>
              <w:t>资金到位率=（实际到位资金/预算资金）×100%。</w:t>
            </w:r>
          </w:p>
          <w:p>
            <w:pPr>
              <w:widowControl/>
              <w:spacing w:line="0" w:lineRule="atLeast"/>
              <w:rPr>
                <w:color w:val="000000"/>
                <w:kern w:val="0"/>
                <w:sz w:val="22"/>
                <w:szCs w:val="22"/>
              </w:rPr>
            </w:pPr>
            <w:r>
              <w:rPr>
                <w:color w:val="000000"/>
                <w:kern w:val="0"/>
                <w:sz w:val="22"/>
                <w:szCs w:val="22"/>
              </w:rPr>
              <w:t>实际到位资金：一定时期（本年度或项目期）内落实到具体项目的资金。</w:t>
            </w:r>
          </w:p>
          <w:p>
            <w:pPr>
              <w:widowControl/>
              <w:spacing w:line="0" w:lineRule="atLeast"/>
              <w:rPr>
                <w:color w:val="000000"/>
                <w:kern w:val="0"/>
                <w:sz w:val="22"/>
                <w:szCs w:val="22"/>
              </w:rPr>
            </w:pPr>
            <w:r>
              <w:rPr>
                <w:color w:val="000000"/>
                <w:kern w:val="0"/>
                <w:sz w:val="22"/>
                <w:szCs w:val="22"/>
              </w:rPr>
              <w:t>预算资金：一定时期（本年度或项目期）内预算安排到具体项目的资金。</w:t>
            </w:r>
          </w:p>
        </w:tc>
        <w:tc>
          <w:tcPr>
            <w:tcW w:w="1300" w:type="dxa"/>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1363" w:type="dxa"/>
            <w:shd w:val="clear" w:color="000000" w:fill="FFFFFF"/>
            <w:vAlign w:val="center"/>
          </w:tcPr>
          <w:p>
            <w:pPr>
              <w:widowControl/>
              <w:spacing w:line="0" w:lineRule="atLeast"/>
              <w:jc w:val="center"/>
              <w:rPr>
                <w:rFonts w:hint="eastAsia" w:eastAsia="宋体"/>
                <w:b/>
                <w:bCs/>
                <w:color w:val="000000"/>
                <w:kern w:val="0"/>
                <w:sz w:val="22"/>
                <w:szCs w:val="22"/>
                <w:highlight w:val="none"/>
                <w:lang w:eastAsia="zh-CN"/>
              </w:rPr>
            </w:pPr>
            <w:r>
              <w:rPr>
                <w:rFonts w:hint="eastAsia"/>
                <w:b/>
                <w:bCs/>
                <w:color w:val="000000"/>
                <w:kern w:val="0"/>
                <w:sz w:val="22"/>
                <w:szCs w:val="22"/>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20" w:hRule="atLeast"/>
          <w:jc w:val="center"/>
        </w:trPr>
        <w:tc>
          <w:tcPr>
            <w:tcW w:w="832" w:type="dxa"/>
            <w:vMerge w:val="continue"/>
            <w:shd w:val="clear" w:color="auto" w:fill="FFFFFF"/>
            <w:vAlign w:val="center"/>
          </w:tcPr>
          <w:p>
            <w:pPr>
              <w:spacing w:line="0" w:lineRule="atLeast"/>
              <w:jc w:val="center"/>
              <w:rPr>
                <w:color w:val="000000"/>
                <w:kern w:val="0"/>
                <w:sz w:val="22"/>
                <w:szCs w:val="22"/>
              </w:rPr>
            </w:pPr>
          </w:p>
        </w:tc>
        <w:tc>
          <w:tcPr>
            <w:tcW w:w="764" w:type="dxa"/>
            <w:vMerge w:val="continue"/>
            <w:shd w:val="clear" w:color="auto" w:fill="FFFFFF"/>
            <w:vAlign w:val="center"/>
          </w:tcPr>
          <w:p>
            <w:pPr>
              <w:spacing w:line="0" w:lineRule="atLeast"/>
              <w:jc w:val="center"/>
              <w:rPr>
                <w:color w:val="000000"/>
                <w:kern w:val="0"/>
                <w:sz w:val="22"/>
                <w:szCs w:val="22"/>
              </w:rPr>
            </w:pP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预算执行率</w:t>
            </w:r>
          </w:p>
        </w:tc>
        <w:tc>
          <w:tcPr>
            <w:tcW w:w="2353" w:type="dxa"/>
            <w:shd w:val="clear" w:color="auto" w:fill="FFFFFF"/>
            <w:vAlign w:val="center"/>
          </w:tcPr>
          <w:p>
            <w:pPr>
              <w:widowControl/>
              <w:spacing w:line="0" w:lineRule="atLeast"/>
              <w:rPr>
                <w:color w:val="000000"/>
                <w:kern w:val="0"/>
                <w:sz w:val="22"/>
                <w:szCs w:val="22"/>
              </w:rPr>
            </w:pPr>
            <w:r>
              <w:rPr>
                <w:color w:val="000000"/>
                <w:kern w:val="0"/>
                <w:sz w:val="22"/>
                <w:szCs w:val="22"/>
              </w:rPr>
              <w:t>项目预算资金是否按照计划执行，用以反映或考核项目预算执行情况。</w:t>
            </w:r>
          </w:p>
        </w:tc>
        <w:tc>
          <w:tcPr>
            <w:tcW w:w="5198" w:type="dxa"/>
            <w:shd w:val="clear" w:color="auto" w:fill="FFFFFF"/>
            <w:vAlign w:val="center"/>
          </w:tcPr>
          <w:p>
            <w:pPr>
              <w:widowControl/>
              <w:spacing w:line="0" w:lineRule="atLeast"/>
              <w:rPr>
                <w:rFonts w:hint="eastAsia" w:eastAsia="宋体"/>
                <w:color w:val="000000"/>
                <w:kern w:val="0"/>
                <w:sz w:val="22"/>
                <w:szCs w:val="22"/>
                <w:lang w:eastAsia="zh-CN"/>
              </w:rPr>
            </w:pPr>
            <w:r>
              <w:rPr>
                <w:color w:val="000000"/>
                <w:kern w:val="0"/>
                <w:sz w:val="22"/>
                <w:szCs w:val="22"/>
              </w:rPr>
              <w:t>预算执行率=（实际支出资金/实际到位资金）×100%。</w:t>
            </w:r>
          </w:p>
          <w:p>
            <w:pPr>
              <w:widowControl/>
              <w:spacing w:line="0" w:lineRule="atLeast"/>
              <w:rPr>
                <w:color w:val="000000"/>
                <w:kern w:val="0"/>
                <w:sz w:val="22"/>
                <w:szCs w:val="22"/>
              </w:rPr>
            </w:pPr>
            <w:r>
              <w:rPr>
                <w:color w:val="000000"/>
                <w:kern w:val="0"/>
                <w:sz w:val="22"/>
                <w:szCs w:val="22"/>
              </w:rPr>
              <w:t>实际支出资金：一定时期（本年度或项目期）内项目实际拨付的资金。</w:t>
            </w:r>
          </w:p>
        </w:tc>
        <w:tc>
          <w:tcPr>
            <w:tcW w:w="1300" w:type="dxa"/>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1363" w:type="dxa"/>
            <w:shd w:val="clear" w:color="auto" w:fill="FFFFFF"/>
            <w:vAlign w:val="center"/>
          </w:tcPr>
          <w:p>
            <w:pPr>
              <w:widowControl/>
              <w:spacing w:line="0" w:lineRule="atLeast"/>
              <w:jc w:val="center"/>
              <w:rPr>
                <w:rFonts w:hint="eastAsia" w:eastAsia="宋体"/>
                <w:b/>
                <w:bCs/>
                <w:color w:val="000000"/>
                <w:kern w:val="0"/>
                <w:sz w:val="22"/>
                <w:szCs w:val="22"/>
                <w:highlight w:val="none"/>
                <w:lang w:eastAsia="zh-CN"/>
              </w:rPr>
            </w:pPr>
            <w:r>
              <w:rPr>
                <w:rFonts w:hint="eastAsia"/>
                <w:b/>
                <w:bCs/>
                <w:color w:val="000000"/>
                <w:kern w:val="0"/>
                <w:sz w:val="22"/>
                <w:szCs w:val="22"/>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76" w:hRule="atLeast"/>
          <w:jc w:val="center"/>
        </w:trPr>
        <w:tc>
          <w:tcPr>
            <w:tcW w:w="832" w:type="dxa"/>
            <w:vMerge w:val="continue"/>
            <w:shd w:val="clear" w:color="auto" w:fill="FFFFFF"/>
            <w:vAlign w:val="center"/>
          </w:tcPr>
          <w:p>
            <w:pPr>
              <w:spacing w:line="0" w:lineRule="atLeast"/>
              <w:jc w:val="center"/>
              <w:rPr>
                <w:color w:val="000000"/>
                <w:kern w:val="0"/>
                <w:sz w:val="22"/>
                <w:szCs w:val="22"/>
              </w:rPr>
            </w:pPr>
          </w:p>
        </w:tc>
        <w:tc>
          <w:tcPr>
            <w:tcW w:w="76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资金管理</w:t>
            </w: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资金使用</w:t>
            </w:r>
          </w:p>
          <w:p>
            <w:pPr>
              <w:widowControl/>
              <w:spacing w:line="0" w:lineRule="atLeast"/>
              <w:jc w:val="center"/>
              <w:rPr>
                <w:color w:val="000000"/>
                <w:kern w:val="0"/>
                <w:sz w:val="22"/>
                <w:szCs w:val="22"/>
              </w:rPr>
            </w:pPr>
            <w:r>
              <w:rPr>
                <w:color w:val="000000"/>
                <w:kern w:val="0"/>
                <w:sz w:val="22"/>
                <w:szCs w:val="22"/>
              </w:rPr>
              <w:t>合规性</w:t>
            </w:r>
          </w:p>
        </w:tc>
        <w:tc>
          <w:tcPr>
            <w:tcW w:w="2353" w:type="dxa"/>
            <w:shd w:val="clear" w:color="000000" w:fill="FFFFFF"/>
            <w:vAlign w:val="center"/>
          </w:tcPr>
          <w:p>
            <w:pPr>
              <w:widowControl/>
              <w:spacing w:line="0" w:lineRule="atLeast"/>
              <w:rPr>
                <w:color w:val="000000"/>
                <w:kern w:val="0"/>
                <w:sz w:val="22"/>
                <w:szCs w:val="22"/>
              </w:rPr>
            </w:pPr>
            <w:r>
              <w:rPr>
                <w:color w:val="000000"/>
                <w:kern w:val="0"/>
                <w:sz w:val="22"/>
                <w:szCs w:val="22"/>
              </w:rPr>
              <w:t>项目资金使用是否符合相关的财务管理制度规定，用以反映和考核项目资金的规范运行情况。</w:t>
            </w:r>
          </w:p>
        </w:tc>
        <w:tc>
          <w:tcPr>
            <w:tcW w:w="5198" w:type="dxa"/>
            <w:shd w:val="clear" w:color="000000" w:fill="FFFFFF"/>
            <w:vAlign w:val="center"/>
          </w:tcPr>
          <w:p>
            <w:pPr>
              <w:widowControl/>
              <w:spacing w:line="0" w:lineRule="atLeast"/>
              <w:rPr>
                <w:rFonts w:hint="eastAsia" w:eastAsia="宋体"/>
                <w:color w:val="000000"/>
                <w:kern w:val="0"/>
                <w:sz w:val="22"/>
                <w:szCs w:val="22"/>
                <w:lang w:eastAsia="zh-CN"/>
              </w:rPr>
            </w:pPr>
            <w:r>
              <w:rPr>
                <w:color w:val="000000"/>
                <w:kern w:val="0"/>
                <w:sz w:val="22"/>
                <w:szCs w:val="22"/>
              </w:rPr>
              <w:t>评价要点：</w:t>
            </w:r>
          </w:p>
          <w:p>
            <w:pPr>
              <w:widowControl/>
              <w:spacing w:line="0" w:lineRule="atLeast"/>
              <w:rPr>
                <w:rFonts w:hint="eastAsia" w:eastAsia="宋体"/>
                <w:color w:val="000000"/>
                <w:kern w:val="0"/>
                <w:sz w:val="22"/>
                <w:szCs w:val="22"/>
                <w:lang w:eastAsia="zh-CN"/>
              </w:rPr>
            </w:pPr>
            <w:r>
              <w:rPr>
                <w:color w:val="000000"/>
                <w:kern w:val="0"/>
                <w:sz w:val="22"/>
                <w:szCs w:val="22"/>
              </w:rPr>
              <w:t>①是否符合国家财经法规和财务管理制度以及有关专项资金管理办法的规定；</w:t>
            </w:r>
          </w:p>
          <w:p>
            <w:pPr>
              <w:widowControl/>
              <w:spacing w:line="0" w:lineRule="atLeast"/>
              <w:rPr>
                <w:rFonts w:hint="eastAsia" w:eastAsia="宋体"/>
                <w:color w:val="000000"/>
                <w:kern w:val="0"/>
                <w:sz w:val="22"/>
                <w:szCs w:val="22"/>
                <w:lang w:eastAsia="zh-CN"/>
              </w:rPr>
            </w:pPr>
            <w:r>
              <w:rPr>
                <w:color w:val="000000"/>
                <w:kern w:val="0"/>
                <w:sz w:val="22"/>
                <w:szCs w:val="22"/>
              </w:rPr>
              <w:t>②资金的拨付是否有完整的审批程序和手续；</w:t>
            </w:r>
          </w:p>
          <w:p>
            <w:pPr>
              <w:widowControl/>
              <w:spacing w:line="0" w:lineRule="atLeast"/>
              <w:rPr>
                <w:rFonts w:hint="eastAsia" w:eastAsia="宋体"/>
                <w:color w:val="000000"/>
                <w:kern w:val="0"/>
                <w:sz w:val="22"/>
                <w:szCs w:val="22"/>
                <w:lang w:eastAsia="zh-CN"/>
              </w:rPr>
            </w:pPr>
            <w:r>
              <w:rPr>
                <w:color w:val="000000"/>
                <w:kern w:val="0"/>
                <w:sz w:val="22"/>
                <w:szCs w:val="22"/>
              </w:rPr>
              <w:t>③是否符合项目预算批复或合同规定的用途；</w:t>
            </w:r>
          </w:p>
          <w:p>
            <w:pPr>
              <w:widowControl/>
              <w:spacing w:line="0" w:lineRule="atLeast"/>
              <w:rPr>
                <w:color w:val="000000"/>
                <w:kern w:val="0"/>
                <w:sz w:val="22"/>
                <w:szCs w:val="22"/>
              </w:rPr>
            </w:pPr>
            <w:r>
              <w:rPr>
                <w:color w:val="000000"/>
                <w:kern w:val="0"/>
                <w:sz w:val="22"/>
                <w:szCs w:val="22"/>
              </w:rPr>
              <w:t>④是否存在截留、挤占、挪用、虚列支出等情况。</w:t>
            </w:r>
          </w:p>
        </w:tc>
        <w:tc>
          <w:tcPr>
            <w:tcW w:w="1300" w:type="dxa"/>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1363" w:type="dxa"/>
            <w:shd w:val="clear" w:color="000000" w:fill="FFFFFF"/>
            <w:vAlign w:val="center"/>
          </w:tcPr>
          <w:p>
            <w:pPr>
              <w:widowControl/>
              <w:spacing w:line="0" w:lineRule="atLeast"/>
              <w:jc w:val="center"/>
              <w:rPr>
                <w:rFonts w:hint="eastAsia" w:eastAsia="宋体"/>
                <w:b/>
                <w:bCs/>
                <w:color w:val="000000"/>
                <w:kern w:val="0"/>
                <w:sz w:val="22"/>
                <w:szCs w:val="22"/>
                <w:highlight w:val="none"/>
                <w:lang w:eastAsia="zh-CN"/>
              </w:rPr>
            </w:pPr>
            <w:r>
              <w:rPr>
                <w:rFonts w:hint="eastAsia"/>
                <w:b/>
                <w:bCs/>
                <w:color w:val="000000"/>
                <w:kern w:val="0"/>
                <w:sz w:val="22"/>
                <w:szCs w:val="22"/>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97" w:hRule="atLeast"/>
          <w:jc w:val="center"/>
        </w:trPr>
        <w:tc>
          <w:tcPr>
            <w:tcW w:w="832" w:type="dxa"/>
            <w:vMerge w:val="continue"/>
            <w:shd w:val="clear" w:color="auto" w:fill="FFFFFF"/>
            <w:vAlign w:val="center"/>
          </w:tcPr>
          <w:p>
            <w:pPr>
              <w:spacing w:line="0" w:lineRule="atLeast"/>
              <w:jc w:val="center"/>
              <w:rPr>
                <w:color w:val="000000"/>
                <w:kern w:val="0"/>
                <w:sz w:val="22"/>
                <w:szCs w:val="22"/>
              </w:rPr>
            </w:pPr>
          </w:p>
        </w:tc>
        <w:tc>
          <w:tcPr>
            <w:tcW w:w="764"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组织实施</w:t>
            </w:r>
          </w:p>
          <w:p>
            <w:pPr>
              <w:spacing w:line="0" w:lineRule="atLeast"/>
              <w:jc w:val="center"/>
              <w:rPr>
                <w:color w:val="000000"/>
                <w:kern w:val="0"/>
                <w:sz w:val="22"/>
                <w:szCs w:val="22"/>
              </w:rPr>
            </w:pPr>
            <w:r>
              <w:rPr>
                <w:color w:val="000000"/>
                <w:kern w:val="0"/>
                <w:sz w:val="22"/>
                <w:szCs w:val="22"/>
              </w:rPr>
              <w:t>　</w:t>
            </w: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管理制度</w:t>
            </w:r>
          </w:p>
          <w:p>
            <w:pPr>
              <w:widowControl/>
              <w:spacing w:line="0" w:lineRule="atLeast"/>
              <w:jc w:val="center"/>
              <w:rPr>
                <w:color w:val="000000"/>
                <w:kern w:val="0"/>
                <w:sz w:val="22"/>
                <w:szCs w:val="22"/>
              </w:rPr>
            </w:pPr>
            <w:r>
              <w:rPr>
                <w:color w:val="000000"/>
                <w:kern w:val="0"/>
                <w:sz w:val="22"/>
                <w:szCs w:val="22"/>
              </w:rPr>
              <w:t>健全性</w:t>
            </w:r>
          </w:p>
        </w:tc>
        <w:tc>
          <w:tcPr>
            <w:tcW w:w="2353" w:type="dxa"/>
            <w:shd w:val="clear" w:color="000000" w:fill="FFFFFF"/>
            <w:vAlign w:val="center"/>
          </w:tcPr>
          <w:p>
            <w:pPr>
              <w:widowControl/>
              <w:spacing w:line="0" w:lineRule="atLeast"/>
              <w:rPr>
                <w:color w:val="000000"/>
                <w:kern w:val="0"/>
                <w:sz w:val="22"/>
                <w:szCs w:val="22"/>
              </w:rPr>
            </w:pPr>
            <w:r>
              <w:rPr>
                <w:color w:val="000000"/>
                <w:kern w:val="0"/>
                <w:sz w:val="22"/>
                <w:szCs w:val="22"/>
              </w:rPr>
              <w:t>项目实施单位的财务和业务管理制度是否健全，用以反映和考核财务和业务管理制度对项目顺利实施的保障情况。</w:t>
            </w:r>
          </w:p>
        </w:tc>
        <w:tc>
          <w:tcPr>
            <w:tcW w:w="5198" w:type="dxa"/>
            <w:shd w:val="clear" w:color="000000" w:fill="FFFFFF"/>
            <w:vAlign w:val="center"/>
          </w:tcPr>
          <w:p>
            <w:pPr>
              <w:widowControl/>
              <w:spacing w:line="0" w:lineRule="atLeast"/>
              <w:rPr>
                <w:rFonts w:hint="eastAsia" w:eastAsia="宋体"/>
                <w:color w:val="000000"/>
                <w:kern w:val="0"/>
                <w:sz w:val="22"/>
                <w:szCs w:val="22"/>
                <w:lang w:eastAsia="zh-CN"/>
              </w:rPr>
            </w:pPr>
            <w:r>
              <w:rPr>
                <w:color w:val="000000"/>
                <w:kern w:val="0"/>
                <w:sz w:val="22"/>
                <w:szCs w:val="22"/>
              </w:rPr>
              <w:t>评价要点：</w:t>
            </w:r>
          </w:p>
          <w:p>
            <w:pPr>
              <w:widowControl/>
              <w:spacing w:line="0" w:lineRule="atLeast"/>
              <w:rPr>
                <w:rFonts w:hint="eastAsia" w:eastAsia="宋体"/>
                <w:color w:val="000000"/>
                <w:kern w:val="0"/>
                <w:sz w:val="22"/>
                <w:szCs w:val="22"/>
                <w:lang w:eastAsia="zh-CN"/>
              </w:rPr>
            </w:pPr>
            <w:r>
              <w:rPr>
                <w:color w:val="000000"/>
                <w:kern w:val="0"/>
                <w:sz w:val="22"/>
                <w:szCs w:val="22"/>
              </w:rPr>
              <w:t>①是否已制定或具有相应的财务和业务管理制度；</w:t>
            </w:r>
          </w:p>
          <w:p>
            <w:pPr>
              <w:widowControl/>
              <w:spacing w:line="0" w:lineRule="atLeast"/>
              <w:rPr>
                <w:color w:val="000000"/>
                <w:kern w:val="0"/>
                <w:sz w:val="22"/>
                <w:szCs w:val="22"/>
              </w:rPr>
            </w:pPr>
            <w:r>
              <w:rPr>
                <w:color w:val="000000"/>
                <w:kern w:val="0"/>
                <w:sz w:val="22"/>
                <w:szCs w:val="22"/>
              </w:rPr>
              <w:t>②财务和业务管理制度是否合法、合规、完整。</w:t>
            </w:r>
          </w:p>
        </w:tc>
        <w:tc>
          <w:tcPr>
            <w:tcW w:w="1300" w:type="dxa"/>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1363" w:type="dxa"/>
            <w:shd w:val="clear" w:color="000000" w:fill="FFFFFF"/>
            <w:vAlign w:val="center"/>
          </w:tcPr>
          <w:p>
            <w:pPr>
              <w:widowControl/>
              <w:spacing w:line="0" w:lineRule="atLeast"/>
              <w:jc w:val="center"/>
              <w:rPr>
                <w:rFonts w:hint="eastAsia" w:eastAsia="宋体"/>
                <w:b/>
                <w:bCs/>
                <w:color w:val="000000"/>
                <w:kern w:val="0"/>
                <w:sz w:val="22"/>
                <w:szCs w:val="22"/>
                <w:highlight w:val="none"/>
                <w:lang w:eastAsia="zh-CN"/>
              </w:rPr>
            </w:pPr>
            <w:r>
              <w:rPr>
                <w:rFonts w:hint="eastAsia"/>
                <w:b/>
                <w:bCs/>
                <w:color w:val="000000"/>
                <w:kern w:val="0"/>
                <w:sz w:val="22"/>
                <w:szCs w:val="22"/>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69" w:hRule="atLeast"/>
          <w:jc w:val="center"/>
        </w:trPr>
        <w:tc>
          <w:tcPr>
            <w:tcW w:w="832" w:type="dxa"/>
            <w:vMerge w:val="continue"/>
            <w:shd w:val="clear" w:color="auto" w:fill="FFFFFF"/>
            <w:vAlign w:val="center"/>
          </w:tcPr>
          <w:p>
            <w:pPr>
              <w:widowControl/>
              <w:spacing w:line="0" w:lineRule="atLeast"/>
              <w:jc w:val="center"/>
              <w:rPr>
                <w:color w:val="000000"/>
                <w:kern w:val="0"/>
                <w:sz w:val="22"/>
                <w:szCs w:val="22"/>
              </w:rPr>
            </w:pPr>
          </w:p>
        </w:tc>
        <w:tc>
          <w:tcPr>
            <w:tcW w:w="764" w:type="dxa"/>
            <w:vMerge w:val="continue"/>
            <w:shd w:val="clear" w:color="auto" w:fill="FFFFFF"/>
            <w:vAlign w:val="center"/>
          </w:tcPr>
          <w:p>
            <w:pPr>
              <w:widowControl/>
              <w:spacing w:line="0" w:lineRule="atLeast"/>
              <w:jc w:val="center"/>
              <w:rPr>
                <w:color w:val="000000"/>
                <w:kern w:val="0"/>
                <w:sz w:val="22"/>
                <w:szCs w:val="22"/>
              </w:rPr>
            </w:pP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制度执行</w:t>
            </w:r>
          </w:p>
          <w:p>
            <w:pPr>
              <w:widowControl/>
              <w:spacing w:line="0" w:lineRule="atLeast"/>
              <w:jc w:val="center"/>
              <w:rPr>
                <w:color w:val="000000"/>
                <w:kern w:val="0"/>
                <w:sz w:val="22"/>
                <w:szCs w:val="22"/>
              </w:rPr>
            </w:pPr>
            <w:r>
              <w:rPr>
                <w:color w:val="000000"/>
                <w:kern w:val="0"/>
                <w:sz w:val="22"/>
                <w:szCs w:val="22"/>
              </w:rPr>
              <w:t>有效性</w:t>
            </w:r>
          </w:p>
        </w:tc>
        <w:tc>
          <w:tcPr>
            <w:tcW w:w="2353" w:type="dxa"/>
            <w:shd w:val="clear" w:color="000000" w:fill="FFFFFF"/>
            <w:vAlign w:val="center"/>
          </w:tcPr>
          <w:p>
            <w:pPr>
              <w:widowControl/>
              <w:spacing w:line="0" w:lineRule="atLeast"/>
              <w:rPr>
                <w:color w:val="000000"/>
                <w:kern w:val="0"/>
                <w:sz w:val="22"/>
                <w:szCs w:val="22"/>
              </w:rPr>
            </w:pPr>
            <w:r>
              <w:rPr>
                <w:color w:val="000000"/>
                <w:kern w:val="0"/>
                <w:sz w:val="22"/>
                <w:szCs w:val="22"/>
              </w:rPr>
              <w:t>项目实施是否符合相关管理规定，用以反映和考核相关管理制度的有效执行情况。</w:t>
            </w:r>
          </w:p>
        </w:tc>
        <w:tc>
          <w:tcPr>
            <w:tcW w:w="5198" w:type="dxa"/>
            <w:shd w:val="clear" w:color="000000" w:fill="FFFFFF"/>
            <w:vAlign w:val="center"/>
          </w:tcPr>
          <w:p>
            <w:pPr>
              <w:widowControl/>
              <w:spacing w:line="0" w:lineRule="atLeast"/>
              <w:rPr>
                <w:rFonts w:hint="eastAsia" w:eastAsia="宋体"/>
                <w:color w:val="000000"/>
                <w:kern w:val="0"/>
                <w:sz w:val="22"/>
                <w:szCs w:val="22"/>
                <w:lang w:eastAsia="zh-CN"/>
              </w:rPr>
            </w:pPr>
            <w:r>
              <w:rPr>
                <w:color w:val="000000"/>
                <w:kern w:val="0"/>
                <w:sz w:val="22"/>
                <w:szCs w:val="22"/>
              </w:rPr>
              <w:t>评价要点：</w:t>
            </w:r>
          </w:p>
          <w:p>
            <w:pPr>
              <w:widowControl/>
              <w:spacing w:line="0" w:lineRule="atLeast"/>
              <w:rPr>
                <w:rFonts w:hint="eastAsia" w:eastAsia="宋体"/>
                <w:color w:val="000000"/>
                <w:kern w:val="0"/>
                <w:sz w:val="22"/>
                <w:szCs w:val="22"/>
                <w:lang w:eastAsia="zh-CN"/>
              </w:rPr>
            </w:pPr>
            <w:r>
              <w:rPr>
                <w:color w:val="000000"/>
                <w:kern w:val="0"/>
                <w:sz w:val="22"/>
                <w:szCs w:val="22"/>
              </w:rPr>
              <w:t>①是否遵守相关法律法规和相关管理规定；</w:t>
            </w:r>
          </w:p>
          <w:p>
            <w:pPr>
              <w:widowControl/>
              <w:spacing w:line="0" w:lineRule="atLeast"/>
              <w:rPr>
                <w:rFonts w:hint="eastAsia" w:eastAsia="宋体"/>
                <w:color w:val="000000"/>
                <w:kern w:val="0"/>
                <w:sz w:val="22"/>
                <w:szCs w:val="22"/>
                <w:lang w:eastAsia="zh-CN"/>
              </w:rPr>
            </w:pPr>
            <w:r>
              <w:rPr>
                <w:color w:val="000000"/>
                <w:kern w:val="0"/>
                <w:sz w:val="22"/>
                <w:szCs w:val="22"/>
              </w:rPr>
              <w:t>②项目调整及支出调整手续是否完备；</w:t>
            </w:r>
          </w:p>
          <w:p>
            <w:pPr>
              <w:widowControl/>
              <w:spacing w:line="0" w:lineRule="atLeast"/>
              <w:rPr>
                <w:rFonts w:hint="eastAsia" w:eastAsia="宋体"/>
                <w:color w:val="000000"/>
                <w:kern w:val="0"/>
                <w:sz w:val="22"/>
                <w:szCs w:val="22"/>
                <w:lang w:eastAsia="zh-CN"/>
              </w:rPr>
            </w:pPr>
            <w:r>
              <w:rPr>
                <w:color w:val="000000"/>
                <w:kern w:val="0"/>
                <w:sz w:val="22"/>
                <w:szCs w:val="22"/>
              </w:rPr>
              <w:t>③项目合同书、验收报告、技术鉴定等资料是否齐全并及时归档；</w:t>
            </w:r>
          </w:p>
          <w:p>
            <w:pPr>
              <w:widowControl/>
              <w:spacing w:line="0" w:lineRule="atLeast"/>
              <w:rPr>
                <w:color w:val="000000"/>
                <w:kern w:val="0"/>
                <w:sz w:val="22"/>
                <w:szCs w:val="22"/>
              </w:rPr>
            </w:pPr>
            <w:r>
              <w:rPr>
                <w:color w:val="000000"/>
                <w:kern w:val="0"/>
                <w:sz w:val="22"/>
                <w:szCs w:val="22"/>
              </w:rPr>
              <w:t>④项目实施的人员条件、场地设备、信息支撑等是否落实到位。</w:t>
            </w:r>
          </w:p>
        </w:tc>
        <w:tc>
          <w:tcPr>
            <w:tcW w:w="1300" w:type="dxa"/>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1363" w:type="dxa"/>
            <w:shd w:val="clear" w:color="000000" w:fill="FFFFFF"/>
            <w:vAlign w:val="center"/>
          </w:tcPr>
          <w:p>
            <w:pPr>
              <w:widowControl/>
              <w:spacing w:line="0" w:lineRule="atLeast"/>
              <w:jc w:val="center"/>
              <w:rPr>
                <w:rFonts w:hint="eastAsia" w:eastAsia="宋体"/>
                <w:b/>
                <w:bCs/>
                <w:color w:val="000000"/>
                <w:kern w:val="0"/>
                <w:sz w:val="22"/>
                <w:szCs w:val="22"/>
                <w:highlight w:val="none"/>
                <w:lang w:eastAsia="zh-CN"/>
              </w:rPr>
            </w:pPr>
            <w:r>
              <w:rPr>
                <w:rFonts w:hint="eastAsia"/>
                <w:b/>
                <w:bCs/>
                <w:color w:val="000000"/>
                <w:kern w:val="0"/>
                <w:sz w:val="22"/>
                <w:szCs w:val="22"/>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17" w:hRule="atLeast"/>
          <w:jc w:val="center"/>
        </w:trPr>
        <w:tc>
          <w:tcPr>
            <w:tcW w:w="832"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产出</w:t>
            </w:r>
          </w:p>
        </w:tc>
        <w:tc>
          <w:tcPr>
            <w:tcW w:w="76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产出数量</w:t>
            </w: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实际完成率</w:t>
            </w:r>
          </w:p>
        </w:tc>
        <w:tc>
          <w:tcPr>
            <w:tcW w:w="2353" w:type="dxa"/>
            <w:shd w:val="clear" w:color="000000" w:fill="FFFFFF"/>
            <w:vAlign w:val="center"/>
          </w:tcPr>
          <w:p>
            <w:pPr>
              <w:widowControl/>
              <w:spacing w:line="0" w:lineRule="atLeast"/>
              <w:rPr>
                <w:color w:val="000000"/>
                <w:kern w:val="0"/>
                <w:sz w:val="22"/>
                <w:szCs w:val="22"/>
              </w:rPr>
            </w:pPr>
            <w:r>
              <w:rPr>
                <w:color w:val="000000"/>
                <w:kern w:val="0"/>
                <w:sz w:val="22"/>
                <w:szCs w:val="22"/>
              </w:rPr>
              <w:t>项目实施的实际产出数与计划产出数的比率，用以反映和考核项目产出数量目标的实现程度。</w:t>
            </w:r>
          </w:p>
        </w:tc>
        <w:tc>
          <w:tcPr>
            <w:tcW w:w="5198" w:type="dxa"/>
            <w:shd w:val="clear" w:color="000000" w:fill="FFFFFF"/>
            <w:vAlign w:val="center"/>
          </w:tcPr>
          <w:p>
            <w:pPr>
              <w:widowControl/>
              <w:spacing w:line="0" w:lineRule="atLeast"/>
              <w:rPr>
                <w:rFonts w:hint="eastAsia" w:eastAsia="宋体"/>
                <w:color w:val="000000"/>
                <w:kern w:val="0"/>
                <w:sz w:val="22"/>
                <w:szCs w:val="22"/>
                <w:lang w:eastAsia="zh-CN"/>
              </w:rPr>
            </w:pPr>
            <w:r>
              <w:rPr>
                <w:color w:val="000000"/>
                <w:kern w:val="0"/>
                <w:sz w:val="22"/>
                <w:szCs w:val="22"/>
              </w:rPr>
              <w:t>实际完成率=（实际产出数/计划产出数）×100%。</w:t>
            </w:r>
          </w:p>
          <w:p>
            <w:pPr>
              <w:widowControl/>
              <w:spacing w:line="0" w:lineRule="atLeast"/>
              <w:rPr>
                <w:rFonts w:hint="eastAsia" w:eastAsia="宋体"/>
                <w:color w:val="000000"/>
                <w:kern w:val="0"/>
                <w:sz w:val="22"/>
                <w:szCs w:val="22"/>
                <w:lang w:eastAsia="zh-CN"/>
              </w:rPr>
            </w:pPr>
            <w:r>
              <w:rPr>
                <w:color w:val="000000"/>
                <w:kern w:val="0"/>
                <w:sz w:val="22"/>
                <w:szCs w:val="22"/>
              </w:rPr>
              <w:t>实际产出数：一定时期（本年度或项目期）内项目实际产出的产品或提供的服务数量。</w:t>
            </w:r>
          </w:p>
          <w:p>
            <w:pPr>
              <w:widowControl/>
              <w:spacing w:line="0" w:lineRule="atLeast"/>
              <w:rPr>
                <w:color w:val="000000"/>
                <w:kern w:val="0"/>
                <w:sz w:val="22"/>
                <w:szCs w:val="22"/>
              </w:rPr>
            </w:pPr>
            <w:r>
              <w:rPr>
                <w:color w:val="000000"/>
                <w:kern w:val="0"/>
                <w:sz w:val="22"/>
                <w:szCs w:val="22"/>
              </w:rPr>
              <w:t>计划产出数：项目绩效目标确定的在一定时期（本年度或项目期）内计划产出的产品或提供的服务数量。</w:t>
            </w:r>
          </w:p>
        </w:tc>
        <w:tc>
          <w:tcPr>
            <w:tcW w:w="1300" w:type="dxa"/>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1363" w:type="dxa"/>
            <w:shd w:val="clear" w:color="000000" w:fill="FFFFFF"/>
            <w:vAlign w:val="center"/>
          </w:tcPr>
          <w:p>
            <w:pPr>
              <w:widowControl/>
              <w:spacing w:line="0" w:lineRule="atLeast"/>
              <w:jc w:val="center"/>
              <w:rPr>
                <w:rFonts w:hint="default" w:eastAsia="宋体"/>
                <w:b/>
                <w:bCs/>
                <w:color w:val="000000"/>
                <w:kern w:val="0"/>
                <w:sz w:val="22"/>
                <w:szCs w:val="22"/>
                <w:highlight w:val="none"/>
                <w:lang w:val="en-US" w:eastAsia="zh-CN"/>
              </w:rPr>
            </w:pPr>
            <w:r>
              <w:rPr>
                <w:rFonts w:hint="eastAsia"/>
                <w:b/>
                <w:bCs/>
                <w:color w:val="000000"/>
                <w:kern w:val="0"/>
                <w:sz w:val="22"/>
                <w:szCs w:val="22"/>
                <w:highlight w:val="none"/>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18" w:hRule="atLeast"/>
          <w:jc w:val="center"/>
        </w:trPr>
        <w:tc>
          <w:tcPr>
            <w:tcW w:w="832" w:type="dxa"/>
            <w:vMerge w:val="continue"/>
            <w:shd w:val="clear" w:color="auto" w:fill="FFFFFF"/>
            <w:vAlign w:val="center"/>
          </w:tcPr>
          <w:p>
            <w:pPr>
              <w:widowControl/>
              <w:spacing w:line="0" w:lineRule="atLeast"/>
              <w:jc w:val="center"/>
              <w:rPr>
                <w:color w:val="000000"/>
                <w:kern w:val="0"/>
                <w:sz w:val="22"/>
                <w:szCs w:val="22"/>
              </w:rPr>
            </w:pPr>
          </w:p>
        </w:tc>
        <w:tc>
          <w:tcPr>
            <w:tcW w:w="76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产出质量</w:t>
            </w: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质量达标率</w:t>
            </w:r>
          </w:p>
        </w:tc>
        <w:tc>
          <w:tcPr>
            <w:tcW w:w="2353" w:type="dxa"/>
            <w:shd w:val="clear" w:color="000000" w:fill="FFFFFF"/>
            <w:vAlign w:val="center"/>
          </w:tcPr>
          <w:p>
            <w:pPr>
              <w:widowControl/>
              <w:spacing w:line="0" w:lineRule="atLeast"/>
              <w:rPr>
                <w:color w:val="000000"/>
                <w:kern w:val="0"/>
                <w:sz w:val="22"/>
                <w:szCs w:val="22"/>
              </w:rPr>
            </w:pPr>
            <w:r>
              <w:rPr>
                <w:color w:val="000000"/>
                <w:kern w:val="0"/>
                <w:sz w:val="22"/>
                <w:szCs w:val="22"/>
              </w:rPr>
              <w:t>项目完成的质量达标产出数与实际产出数的比率，用以反映和考核项目产出质量目标的实现程度。</w:t>
            </w:r>
          </w:p>
        </w:tc>
        <w:tc>
          <w:tcPr>
            <w:tcW w:w="5198" w:type="dxa"/>
            <w:shd w:val="clear" w:color="000000" w:fill="FFFFFF"/>
            <w:vAlign w:val="center"/>
          </w:tcPr>
          <w:p>
            <w:pPr>
              <w:widowControl/>
              <w:spacing w:line="0" w:lineRule="atLeast"/>
              <w:rPr>
                <w:color w:val="000000"/>
                <w:kern w:val="0"/>
                <w:sz w:val="22"/>
                <w:szCs w:val="22"/>
              </w:rPr>
            </w:pPr>
            <w:r>
              <w:rPr>
                <w:color w:val="000000"/>
                <w:kern w:val="0"/>
                <w:sz w:val="22"/>
                <w:szCs w:val="22"/>
              </w:rPr>
              <w:t>质量达标率=（质量达标产出数/实际产出数）×100%。</w:t>
            </w:r>
          </w:p>
          <w:p>
            <w:pPr>
              <w:widowControl/>
              <w:spacing w:line="0" w:lineRule="atLeast"/>
              <w:rPr>
                <w:color w:val="000000"/>
                <w:kern w:val="0"/>
                <w:sz w:val="22"/>
                <w:szCs w:val="22"/>
              </w:rPr>
            </w:pPr>
            <w:r>
              <w:rPr>
                <w:color w:val="000000"/>
                <w:kern w:val="0"/>
                <w:sz w:val="22"/>
                <w:szCs w:val="22"/>
              </w:rPr>
              <w:t>质量达标产出数：一定时期（本年度或项目期）内实际达到既定质量标准的产品或服务数量。既定质量标准是指项目实施单位设立绩效目标时依据计划标准、行业标准、历史标准或其他标准而设定的绩效指标值。</w:t>
            </w:r>
          </w:p>
        </w:tc>
        <w:tc>
          <w:tcPr>
            <w:tcW w:w="1300" w:type="dxa"/>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1363" w:type="dxa"/>
            <w:shd w:val="clear" w:color="000000" w:fill="FFFFFF"/>
            <w:vAlign w:val="center"/>
          </w:tcPr>
          <w:p>
            <w:pPr>
              <w:widowControl/>
              <w:spacing w:line="0" w:lineRule="atLeast"/>
              <w:jc w:val="center"/>
              <w:rPr>
                <w:rFonts w:hint="default" w:eastAsia="宋体"/>
                <w:b/>
                <w:bCs/>
                <w:color w:val="000000"/>
                <w:kern w:val="0"/>
                <w:sz w:val="22"/>
                <w:szCs w:val="22"/>
                <w:highlight w:val="none"/>
                <w:lang w:val="en-US" w:eastAsia="zh-CN"/>
              </w:rPr>
            </w:pPr>
            <w:r>
              <w:rPr>
                <w:rFonts w:hint="eastAsia"/>
                <w:b/>
                <w:bCs/>
                <w:color w:val="000000"/>
                <w:kern w:val="0"/>
                <w:sz w:val="22"/>
                <w:szCs w:val="22"/>
                <w:highlight w:val="none"/>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506" w:hRule="atLeast"/>
          <w:jc w:val="center"/>
        </w:trPr>
        <w:tc>
          <w:tcPr>
            <w:tcW w:w="832" w:type="dxa"/>
            <w:vMerge w:val="continue"/>
            <w:shd w:val="clear" w:color="auto" w:fill="FFFFFF"/>
            <w:vAlign w:val="center"/>
          </w:tcPr>
          <w:p>
            <w:pPr>
              <w:spacing w:line="0" w:lineRule="atLeast"/>
              <w:jc w:val="center"/>
              <w:rPr>
                <w:color w:val="000000"/>
                <w:kern w:val="0"/>
                <w:sz w:val="22"/>
                <w:szCs w:val="22"/>
              </w:rPr>
            </w:pPr>
          </w:p>
        </w:tc>
        <w:tc>
          <w:tcPr>
            <w:tcW w:w="764" w:type="dxa"/>
            <w:shd w:val="clear" w:color="auto" w:fill="FFFFFF"/>
            <w:vAlign w:val="center"/>
          </w:tcPr>
          <w:p>
            <w:pPr>
              <w:spacing w:line="0" w:lineRule="atLeast"/>
              <w:jc w:val="center"/>
              <w:rPr>
                <w:color w:val="000000"/>
                <w:kern w:val="0"/>
                <w:sz w:val="22"/>
                <w:szCs w:val="22"/>
              </w:rPr>
            </w:pPr>
            <w:r>
              <w:rPr>
                <w:color w:val="000000"/>
                <w:kern w:val="0"/>
                <w:sz w:val="22"/>
                <w:szCs w:val="22"/>
              </w:rPr>
              <w:t>产出时效</w:t>
            </w: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完成及时性</w:t>
            </w:r>
          </w:p>
        </w:tc>
        <w:tc>
          <w:tcPr>
            <w:tcW w:w="2353" w:type="dxa"/>
            <w:shd w:val="clear" w:color="000000" w:fill="FFFFFF"/>
            <w:vAlign w:val="center"/>
          </w:tcPr>
          <w:p>
            <w:pPr>
              <w:widowControl/>
              <w:spacing w:line="0" w:lineRule="atLeast"/>
              <w:rPr>
                <w:color w:val="000000"/>
                <w:kern w:val="0"/>
                <w:sz w:val="22"/>
                <w:szCs w:val="22"/>
              </w:rPr>
            </w:pPr>
            <w:r>
              <w:rPr>
                <w:color w:val="000000"/>
                <w:kern w:val="0"/>
                <w:sz w:val="22"/>
                <w:szCs w:val="22"/>
              </w:rPr>
              <w:t>项目实际完成时间与计划完成时间的比较，用以反映和考核项目产出时效目标的实现程度。</w:t>
            </w:r>
          </w:p>
        </w:tc>
        <w:tc>
          <w:tcPr>
            <w:tcW w:w="5198" w:type="dxa"/>
            <w:shd w:val="clear" w:color="000000" w:fill="FFFFFF"/>
            <w:vAlign w:val="center"/>
          </w:tcPr>
          <w:p>
            <w:pPr>
              <w:widowControl/>
              <w:spacing w:line="0" w:lineRule="atLeast"/>
              <w:rPr>
                <w:rFonts w:hint="eastAsia" w:eastAsia="宋体"/>
                <w:color w:val="000000"/>
                <w:kern w:val="0"/>
                <w:sz w:val="22"/>
                <w:szCs w:val="22"/>
                <w:lang w:eastAsia="zh-CN"/>
              </w:rPr>
            </w:pPr>
            <w:r>
              <w:rPr>
                <w:color w:val="000000"/>
                <w:kern w:val="0"/>
                <w:sz w:val="22"/>
                <w:szCs w:val="22"/>
              </w:rPr>
              <w:t>实际完成时间：项目实施单位完成该项目实际所耗用的时间。</w:t>
            </w:r>
          </w:p>
          <w:p>
            <w:pPr>
              <w:widowControl/>
              <w:spacing w:line="0" w:lineRule="atLeast"/>
              <w:rPr>
                <w:color w:val="000000"/>
                <w:kern w:val="0"/>
                <w:sz w:val="22"/>
                <w:szCs w:val="22"/>
              </w:rPr>
            </w:pPr>
            <w:r>
              <w:rPr>
                <w:color w:val="000000"/>
                <w:kern w:val="0"/>
                <w:sz w:val="22"/>
                <w:szCs w:val="22"/>
              </w:rPr>
              <w:t>计划完成时间：按照项目实施计划或相关规定完成该项目所需的时间。</w:t>
            </w:r>
          </w:p>
        </w:tc>
        <w:tc>
          <w:tcPr>
            <w:tcW w:w="1300" w:type="dxa"/>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1363" w:type="dxa"/>
            <w:shd w:val="clear" w:color="000000" w:fill="FFFFFF"/>
            <w:vAlign w:val="center"/>
          </w:tcPr>
          <w:p>
            <w:pPr>
              <w:widowControl/>
              <w:spacing w:line="0" w:lineRule="atLeast"/>
              <w:jc w:val="center"/>
              <w:rPr>
                <w:rFonts w:hint="default" w:eastAsia="宋体"/>
                <w:b/>
                <w:bCs/>
                <w:color w:val="000000"/>
                <w:kern w:val="0"/>
                <w:sz w:val="22"/>
                <w:szCs w:val="22"/>
                <w:highlight w:val="none"/>
                <w:lang w:val="en-US" w:eastAsia="zh-CN"/>
              </w:rPr>
            </w:pPr>
            <w:r>
              <w:rPr>
                <w:rFonts w:hint="eastAsia"/>
                <w:b/>
                <w:bCs/>
                <w:color w:val="000000"/>
                <w:kern w:val="0"/>
                <w:sz w:val="22"/>
                <w:szCs w:val="22"/>
                <w:highlight w:val="none"/>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76" w:hRule="atLeast"/>
          <w:jc w:val="center"/>
        </w:trPr>
        <w:tc>
          <w:tcPr>
            <w:tcW w:w="832" w:type="dxa"/>
            <w:vMerge w:val="continue"/>
            <w:shd w:val="clear" w:color="auto" w:fill="FFFFFF"/>
            <w:vAlign w:val="center"/>
          </w:tcPr>
          <w:p>
            <w:pPr>
              <w:widowControl/>
              <w:spacing w:line="0" w:lineRule="atLeast"/>
              <w:jc w:val="center"/>
              <w:rPr>
                <w:color w:val="000000"/>
                <w:kern w:val="0"/>
                <w:sz w:val="22"/>
                <w:szCs w:val="22"/>
              </w:rPr>
            </w:pPr>
          </w:p>
        </w:tc>
        <w:tc>
          <w:tcPr>
            <w:tcW w:w="76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产出成本</w:t>
            </w: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成本节约率</w:t>
            </w:r>
          </w:p>
        </w:tc>
        <w:tc>
          <w:tcPr>
            <w:tcW w:w="2353" w:type="dxa"/>
            <w:shd w:val="clear" w:color="000000" w:fill="FFFFFF"/>
            <w:vAlign w:val="center"/>
          </w:tcPr>
          <w:p>
            <w:pPr>
              <w:widowControl/>
              <w:spacing w:line="0" w:lineRule="atLeast"/>
              <w:rPr>
                <w:color w:val="000000"/>
                <w:kern w:val="0"/>
                <w:sz w:val="22"/>
                <w:szCs w:val="22"/>
              </w:rPr>
            </w:pPr>
            <w:r>
              <w:rPr>
                <w:color w:val="000000"/>
                <w:kern w:val="0"/>
                <w:sz w:val="22"/>
                <w:szCs w:val="22"/>
              </w:rPr>
              <w:t>完成项目计划工作目标的实际节约成本与计划成本的比率，用以反映和考核项目的成本节约程度。</w:t>
            </w:r>
          </w:p>
        </w:tc>
        <w:tc>
          <w:tcPr>
            <w:tcW w:w="5198" w:type="dxa"/>
            <w:shd w:val="clear" w:color="000000" w:fill="FFFFFF"/>
            <w:vAlign w:val="center"/>
          </w:tcPr>
          <w:p>
            <w:pPr>
              <w:widowControl/>
              <w:spacing w:line="0" w:lineRule="atLeast"/>
              <w:rPr>
                <w:rFonts w:hint="eastAsia" w:eastAsia="宋体"/>
                <w:color w:val="000000"/>
                <w:kern w:val="0"/>
                <w:sz w:val="22"/>
                <w:szCs w:val="22"/>
                <w:lang w:eastAsia="zh-CN"/>
              </w:rPr>
            </w:pPr>
          </w:p>
          <w:p>
            <w:pPr>
              <w:widowControl/>
              <w:spacing w:line="0" w:lineRule="atLeast"/>
              <w:rPr>
                <w:rFonts w:hint="eastAsia" w:eastAsia="宋体"/>
                <w:color w:val="000000"/>
                <w:kern w:val="0"/>
                <w:sz w:val="22"/>
                <w:szCs w:val="22"/>
                <w:lang w:eastAsia="zh-CN"/>
              </w:rPr>
            </w:pPr>
            <w:r>
              <w:rPr>
                <w:color w:val="000000"/>
                <w:kern w:val="0"/>
                <w:sz w:val="22"/>
                <w:szCs w:val="22"/>
              </w:rPr>
              <w:t>成本节约率=[（计划成本-实际成本）/计划成本]×100%。</w:t>
            </w:r>
          </w:p>
          <w:p>
            <w:pPr>
              <w:widowControl/>
              <w:spacing w:line="0" w:lineRule="atLeast"/>
              <w:rPr>
                <w:rFonts w:hint="eastAsia" w:eastAsia="宋体"/>
                <w:color w:val="000000"/>
                <w:kern w:val="0"/>
                <w:sz w:val="22"/>
                <w:szCs w:val="22"/>
                <w:lang w:eastAsia="zh-CN"/>
              </w:rPr>
            </w:pPr>
            <w:r>
              <w:rPr>
                <w:color w:val="000000"/>
                <w:kern w:val="0"/>
                <w:sz w:val="22"/>
                <w:szCs w:val="22"/>
              </w:rPr>
              <w:t>实际成本：项目实施单位如期、保质、保量完成既定工作目标实际所耗费的支出。</w:t>
            </w:r>
          </w:p>
          <w:p>
            <w:pPr>
              <w:widowControl/>
              <w:spacing w:line="0" w:lineRule="atLeast"/>
              <w:rPr>
                <w:color w:val="000000"/>
                <w:kern w:val="0"/>
                <w:sz w:val="22"/>
                <w:szCs w:val="22"/>
              </w:rPr>
            </w:pPr>
            <w:r>
              <w:rPr>
                <w:color w:val="000000"/>
                <w:kern w:val="0"/>
                <w:sz w:val="22"/>
                <w:szCs w:val="22"/>
              </w:rPr>
              <w:t>计划成本：项目实施单位为完成工作目标计划安排的支出，一般以项目预算为参考。</w:t>
            </w:r>
          </w:p>
        </w:tc>
        <w:tc>
          <w:tcPr>
            <w:tcW w:w="1300" w:type="dxa"/>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1363" w:type="dxa"/>
            <w:shd w:val="clear" w:color="000000" w:fill="FFFFFF"/>
            <w:vAlign w:val="center"/>
          </w:tcPr>
          <w:p>
            <w:pPr>
              <w:widowControl/>
              <w:spacing w:line="0" w:lineRule="atLeast"/>
              <w:jc w:val="center"/>
              <w:rPr>
                <w:rFonts w:hint="default" w:eastAsia="宋体"/>
                <w:b/>
                <w:bCs/>
                <w:color w:val="000000"/>
                <w:kern w:val="0"/>
                <w:sz w:val="22"/>
                <w:szCs w:val="22"/>
                <w:highlight w:val="none"/>
                <w:lang w:val="en-US" w:eastAsia="zh-CN"/>
              </w:rPr>
            </w:pPr>
            <w:r>
              <w:rPr>
                <w:rFonts w:hint="eastAsia"/>
                <w:b/>
                <w:bCs/>
                <w:color w:val="000000"/>
                <w:kern w:val="0"/>
                <w:sz w:val="22"/>
                <w:szCs w:val="22"/>
                <w:highlight w:val="none"/>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89" w:hRule="atLeast"/>
          <w:jc w:val="center"/>
        </w:trPr>
        <w:tc>
          <w:tcPr>
            <w:tcW w:w="832"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效益　</w:t>
            </w:r>
          </w:p>
        </w:tc>
        <w:tc>
          <w:tcPr>
            <w:tcW w:w="764"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项目效益　</w:t>
            </w: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实施效益</w:t>
            </w:r>
          </w:p>
        </w:tc>
        <w:tc>
          <w:tcPr>
            <w:tcW w:w="2353" w:type="dxa"/>
            <w:shd w:val="clear" w:color="auto" w:fill="FFFFFF"/>
            <w:vAlign w:val="center"/>
          </w:tcPr>
          <w:p>
            <w:pPr>
              <w:widowControl/>
              <w:spacing w:line="0" w:lineRule="atLeast"/>
              <w:jc w:val="left"/>
              <w:rPr>
                <w:color w:val="000000"/>
                <w:kern w:val="0"/>
                <w:sz w:val="22"/>
                <w:szCs w:val="22"/>
              </w:rPr>
            </w:pPr>
            <w:r>
              <w:rPr>
                <w:color w:val="000000"/>
                <w:kern w:val="0"/>
                <w:sz w:val="22"/>
                <w:szCs w:val="22"/>
              </w:rPr>
              <w:t>项目实施所产生的效益。</w:t>
            </w:r>
          </w:p>
        </w:tc>
        <w:tc>
          <w:tcPr>
            <w:tcW w:w="5198" w:type="dxa"/>
            <w:shd w:val="clear" w:color="auto" w:fill="FFFFFF"/>
            <w:vAlign w:val="center"/>
          </w:tcPr>
          <w:p>
            <w:pPr>
              <w:widowControl/>
              <w:spacing w:line="0" w:lineRule="atLeast"/>
              <w:rPr>
                <w:color w:val="000000"/>
                <w:kern w:val="0"/>
                <w:sz w:val="22"/>
                <w:szCs w:val="22"/>
              </w:rPr>
            </w:pPr>
            <w:r>
              <w:rPr>
                <w:color w:val="000000"/>
                <w:kern w:val="0"/>
                <w:sz w:val="22"/>
                <w:szCs w:val="22"/>
              </w:rPr>
              <w:t>项目实施所产生的社会效益、经济效益、生态效益、可持续影响等。可根据项目实际情况有选择地设置和细化。</w:t>
            </w:r>
          </w:p>
        </w:tc>
        <w:tc>
          <w:tcPr>
            <w:tcW w:w="1300" w:type="dxa"/>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1363" w:type="dxa"/>
            <w:shd w:val="clear" w:color="auto" w:fill="FFFFFF"/>
            <w:vAlign w:val="center"/>
          </w:tcPr>
          <w:p>
            <w:pPr>
              <w:widowControl/>
              <w:spacing w:line="0" w:lineRule="atLeast"/>
              <w:jc w:val="center"/>
              <w:rPr>
                <w:rFonts w:hint="default" w:eastAsia="宋体"/>
                <w:b/>
                <w:bCs/>
                <w:color w:val="000000"/>
                <w:kern w:val="0"/>
                <w:sz w:val="22"/>
                <w:szCs w:val="22"/>
                <w:highlight w:val="none"/>
                <w:lang w:val="en-US" w:eastAsia="zh-CN"/>
              </w:rPr>
            </w:pPr>
            <w:r>
              <w:rPr>
                <w:rFonts w:hint="eastAsia"/>
                <w:b/>
                <w:bCs/>
                <w:color w:val="000000"/>
                <w:kern w:val="0"/>
                <w:sz w:val="22"/>
                <w:szCs w:val="22"/>
                <w:highlight w:val="none"/>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37" w:hRule="atLeast"/>
          <w:jc w:val="center"/>
        </w:trPr>
        <w:tc>
          <w:tcPr>
            <w:tcW w:w="832" w:type="dxa"/>
            <w:vMerge w:val="continue"/>
            <w:shd w:val="clear" w:color="auto" w:fill="FFFFFF"/>
            <w:vAlign w:val="center"/>
          </w:tcPr>
          <w:p>
            <w:pPr>
              <w:widowControl/>
              <w:spacing w:line="0" w:lineRule="atLeast"/>
              <w:jc w:val="center"/>
              <w:rPr>
                <w:color w:val="000000"/>
                <w:kern w:val="0"/>
                <w:sz w:val="22"/>
                <w:szCs w:val="22"/>
              </w:rPr>
            </w:pPr>
          </w:p>
        </w:tc>
        <w:tc>
          <w:tcPr>
            <w:tcW w:w="764" w:type="dxa"/>
            <w:vMerge w:val="continue"/>
            <w:shd w:val="clear" w:color="auto" w:fill="FFFFFF"/>
            <w:vAlign w:val="center"/>
          </w:tcPr>
          <w:p>
            <w:pPr>
              <w:widowControl/>
              <w:spacing w:line="0" w:lineRule="atLeast"/>
              <w:jc w:val="center"/>
              <w:rPr>
                <w:color w:val="000000"/>
                <w:kern w:val="0"/>
                <w:sz w:val="22"/>
                <w:szCs w:val="22"/>
              </w:rPr>
            </w:pP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满意度</w:t>
            </w:r>
          </w:p>
        </w:tc>
        <w:tc>
          <w:tcPr>
            <w:tcW w:w="2353" w:type="dxa"/>
            <w:shd w:val="clear" w:color="000000" w:fill="FFFFFF"/>
            <w:vAlign w:val="center"/>
          </w:tcPr>
          <w:p>
            <w:pPr>
              <w:widowControl/>
              <w:spacing w:line="0" w:lineRule="atLeast"/>
              <w:rPr>
                <w:color w:val="000000"/>
                <w:kern w:val="0"/>
                <w:sz w:val="22"/>
                <w:szCs w:val="22"/>
              </w:rPr>
            </w:pPr>
            <w:r>
              <w:rPr>
                <w:color w:val="000000"/>
                <w:kern w:val="0"/>
                <w:sz w:val="22"/>
                <w:szCs w:val="22"/>
              </w:rPr>
              <w:t>社会公众或服务对象对项目实施效果的满意程度。</w:t>
            </w:r>
          </w:p>
        </w:tc>
        <w:tc>
          <w:tcPr>
            <w:tcW w:w="5198" w:type="dxa"/>
            <w:shd w:val="clear" w:color="000000" w:fill="FFFFFF"/>
            <w:vAlign w:val="center"/>
          </w:tcPr>
          <w:p>
            <w:pPr>
              <w:widowControl/>
              <w:spacing w:line="0" w:lineRule="atLeast"/>
              <w:rPr>
                <w:color w:val="000000"/>
                <w:kern w:val="0"/>
                <w:sz w:val="22"/>
                <w:szCs w:val="22"/>
              </w:rPr>
            </w:pPr>
            <w:r>
              <w:rPr>
                <w:color w:val="000000"/>
                <w:kern w:val="0"/>
                <w:sz w:val="22"/>
                <w:szCs w:val="22"/>
              </w:rPr>
              <w:t>社会公众或服务对象是指因该项目实施而受到影响的部门（单位）、群体或个人。一般采取社会调查的方式。</w:t>
            </w:r>
          </w:p>
        </w:tc>
        <w:tc>
          <w:tcPr>
            <w:tcW w:w="1300" w:type="dxa"/>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1363" w:type="dxa"/>
            <w:shd w:val="clear" w:color="000000" w:fill="FFFFFF"/>
            <w:vAlign w:val="center"/>
          </w:tcPr>
          <w:p>
            <w:pPr>
              <w:widowControl/>
              <w:spacing w:line="0" w:lineRule="atLeast"/>
              <w:jc w:val="center"/>
              <w:rPr>
                <w:rFonts w:hint="default" w:eastAsia="宋体"/>
                <w:b/>
                <w:bCs/>
                <w:color w:val="000000"/>
                <w:kern w:val="0"/>
                <w:sz w:val="22"/>
                <w:szCs w:val="22"/>
                <w:highlight w:val="none"/>
                <w:lang w:val="en-US" w:eastAsia="zh-CN"/>
              </w:rPr>
            </w:pPr>
            <w:r>
              <w:rPr>
                <w:rFonts w:hint="eastAsia"/>
                <w:b/>
                <w:bCs/>
                <w:color w:val="000000"/>
                <w:kern w:val="0"/>
                <w:sz w:val="22"/>
                <w:szCs w:val="22"/>
                <w:highlight w:val="none"/>
                <w:lang w:val="en-US" w:eastAsia="zh-CN"/>
              </w:rPr>
              <w:t>10</w:t>
            </w:r>
          </w:p>
        </w:tc>
      </w:tr>
    </w:tbl>
    <w:p/>
    <w:sectPr>
      <w:pgSz w:w="16838" w:h="11906" w:orient="landscape"/>
      <w:pgMar w:top="1800" w:right="1440" w:bottom="155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200001FF" w:csb1="00000000"/>
  </w:font>
  <w:font w:name="仿宋_GB2312">
    <w:altName w:val="方正仿宋_GBK"/>
    <w:panose1 w:val="02010609030101010101"/>
    <w:charset w:val="86"/>
    <w:family w:val="modern"/>
    <w:pitch w:val="default"/>
    <w:sig w:usb0="00000000" w:usb1="00000000" w:usb2="00000000" w:usb3="00000000" w:csb0="00040000" w:csb1="00000000"/>
  </w:font>
  <w:font w:name="Helvetica Neue">
    <w:altName w:val="DejaVu Math TeX Gyre"/>
    <w:panose1 w:val="02000503000000020004"/>
    <w:charset w:val="00"/>
    <w:family w:val="auto"/>
    <w:pitch w:val="default"/>
    <w:sig w:usb0="00000000" w:usb1="00000000" w:usb2="00000010" w:usb3="00000000" w:csb0="00000001" w:csb1="00000000"/>
  </w:font>
  <w:font w:name="华文中宋">
    <w:altName w:val="汉仪中宋简"/>
    <w:panose1 w:val="02010600040101010101"/>
    <w:charset w:val="86"/>
    <w:family w:val="auto"/>
    <w:pitch w:val="default"/>
    <w:sig w:usb0="00000000" w:usb1="00000000" w:usb2="00000000" w:usb3="00000000" w:csb0="0004009F" w:csb1="DFD70000"/>
  </w:font>
  <w:font w:name="方正小标宋_GBK">
    <w:panose1 w:val="02000000000000000000"/>
    <w:charset w:val="86"/>
    <w:family w:val="script"/>
    <w:pitch w:val="default"/>
    <w:sig w:usb0="00000001" w:usb1="08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CESI仿宋-GB2312">
    <w:panose1 w:val="02000500000000000000"/>
    <w:charset w:val="86"/>
    <w:family w:val="auto"/>
    <w:pitch w:val="default"/>
    <w:sig w:usb0="800002AF" w:usb1="084F6CF8" w:usb2="00000010" w:usb3="00000000" w:csb0="0004000F"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2003363"/>
    </w:sdtPr>
    <w:sdtContent>
      <w:p>
        <w:pPr>
          <w:pStyle w:val="8"/>
          <w:jc w:val="center"/>
        </w:pPr>
        <w:r>
          <w:fldChar w:fldCharType="begin"/>
        </w:r>
        <w:r>
          <w:instrText xml:space="preserve">PAGE   \* MERGEFORMAT</w:instrText>
        </w:r>
        <w:r>
          <w:fldChar w:fldCharType="separate"/>
        </w:r>
        <w:r>
          <w:rPr>
            <w:lang w:val="zh-CN"/>
          </w:rPr>
          <w:t>13</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9379A8"/>
    <w:multiLevelType w:val="singleLevel"/>
    <w:tmpl w:val="FF9379A8"/>
    <w:lvl w:ilvl="0" w:tentative="0">
      <w:start w:val="2"/>
      <w:numFmt w:val="chineseCounting"/>
      <w:suff w:val="nothing"/>
      <w:lvlText w:val="（%1）"/>
      <w:lvlJc w:val="left"/>
      <w:rPr>
        <w:rFonts w:hint="eastAsia"/>
      </w:rPr>
    </w:lvl>
  </w:abstractNum>
  <w:abstractNum w:abstractNumId="1">
    <w:nsid w:val="116B29BF"/>
    <w:multiLevelType w:val="singleLevel"/>
    <w:tmpl w:val="116B29BF"/>
    <w:lvl w:ilvl="0" w:tentative="0">
      <w:start w:val="3"/>
      <w:numFmt w:val="chineseCounting"/>
      <w:suff w:val="nothing"/>
      <w:lvlText w:val="%1、"/>
      <w:lvlJc w:val="left"/>
      <w:rPr>
        <w:rFonts w:hint="eastAsia"/>
      </w:rPr>
    </w:lvl>
  </w:abstractNum>
  <w:abstractNum w:abstractNumId="2">
    <w:nsid w:val="27813159"/>
    <w:multiLevelType w:val="singleLevel"/>
    <w:tmpl w:val="27813159"/>
    <w:lvl w:ilvl="0" w:tentative="0">
      <w:start w:val="3"/>
      <w:numFmt w:val="chineseCounting"/>
      <w:suff w:val="nothing"/>
      <w:lvlText w:val="（%1）"/>
      <w:lvlJc w:val="left"/>
      <w:rPr>
        <w:rFonts w:hint="eastAsia"/>
      </w:rPr>
    </w:lvl>
  </w:abstractNum>
  <w:abstractNum w:abstractNumId="3">
    <w:nsid w:val="6FAA0AB1"/>
    <w:multiLevelType w:val="singleLevel"/>
    <w:tmpl w:val="6FAA0AB1"/>
    <w:lvl w:ilvl="0" w:tentative="0">
      <w:start w:val="2"/>
      <w:numFmt w:val="chineseCounting"/>
      <w:suff w:val="nothing"/>
      <w:lvlText w:val="（%1）"/>
      <w:lvlJc w:val="left"/>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zNjM3ZjNmMGUxY2E3MTg1Y2U0Y2MxMzlkMDRhODkifQ=="/>
  </w:docVars>
  <w:rsids>
    <w:rsidRoot w:val="FF6C4049"/>
    <w:rsid w:val="006F7242"/>
    <w:rsid w:val="007B168A"/>
    <w:rsid w:val="008B2CFE"/>
    <w:rsid w:val="00F26FF6"/>
    <w:rsid w:val="044F4870"/>
    <w:rsid w:val="07397B77"/>
    <w:rsid w:val="0B4C4159"/>
    <w:rsid w:val="10831396"/>
    <w:rsid w:val="13471461"/>
    <w:rsid w:val="13B90F01"/>
    <w:rsid w:val="181066D2"/>
    <w:rsid w:val="19F975BB"/>
    <w:rsid w:val="1C671E73"/>
    <w:rsid w:val="1F6B2B37"/>
    <w:rsid w:val="25C139B3"/>
    <w:rsid w:val="264439EB"/>
    <w:rsid w:val="2766599E"/>
    <w:rsid w:val="27A43C15"/>
    <w:rsid w:val="2B897951"/>
    <w:rsid w:val="38CA40DD"/>
    <w:rsid w:val="395F2B56"/>
    <w:rsid w:val="3BECE841"/>
    <w:rsid w:val="3FF7797D"/>
    <w:rsid w:val="4B9E5471"/>
    <w:rsid w:val="51AC5CE7"/>
    <w:rsid w:val="52333378"/>
    <w:rsid w:val="5A581F75"/>
    <w:rsid w:val="5BFF6039"/>
    <w:rsid w:val="5D76A616"/>
    <w:rsid w:val="5D7F20B9"/>
    <w:rsid w:val="5DAC7D0E"/>
    <w:rsid w:val="5F98B5AF"/>
    <w:rsid w:val="5FFE8511"/>
    <w:rsid w:val="5FFEACE2"/>
    <w:rsid w:val="643EE26D"/>
    <w:rsid w:val="68765189"/>
    <w:rsid w:val="691E0FEB"/>
    <w:rsid w:val="6D552B78"/>
    <w:rsid w:val="6E5E1F50"/>
    <w:rsid w:val="6F5C41AC"/>
    <w:rsid w:val="6FAF6C78"/>
    <w:rsid w:val="70552502"/>
    <w:rsid w:val="7317C656"/>
    <w:rsid w:val="734ED73F"/>
    <w:rsid w:val="77FD8BE9"/>
    <w:rsid w:val="79A9BD3F"/>
    <w:rsid w:val="7BFFFDD0"/>
    <w:rsid w:val="7C336E5F"/>
    <w:rsid w:val="7D7A5F86"/>
    <w:rsid w:val="7F37BB4E"/>
    <w:rsid w:val="7FEF918E"/>
    <w:rsid w:val="7FF4FB6F"/>
    <w:rsid w:val="7FF7FF27"/>
    <w:rsid w:val="7FFDF714"/>
    <w:rsid w:val="AF3FCD8C"/>
    <w:rsid w:val="B9FA2A43"/>
    <w:rsid w:val="BF7BA1E4"/>
    <w:rsid w:val="BFDF04FA"/>
    <w:rsid w:val="BFE227EF"/>
    <w:rsid w:val="CF2A1ABD"/>
    <w:rsid w:val="DA7D3CD9"/>
    <w:rsid w:val="DBDC0ADA"/>
    <w:rsid w:val="DEDE2B06"/>
    <w:rsid w:val="EBFA31C2"/>
    <w:rsid w:val="F3F4A11B"/>
    <w:rsid w:val="F9FD7907"/>
    <w:rsid w:val="FAEF933D"/>
    <w:rsid w:val="FB3A4A6A"/>
    <w:rsid w:val="FF6C4049"/>
    <w:rsid w:val="FF78F63F"/>
    <w:rsid w:val="FF8D2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semiHidden/>
    <w:unhideWhenUsed/>
    <w:qFormat/>
    <w:uiPriority w:val="9"/>
    <w:pPr>
      <w:keepNext/>
      <w:widowControl/>
      <w:spacing w:before="240" w:after="60"/>
      <w:jc w:val="left"/>
      <w:outlineLvl w:val="2"/>
    </w:pPr>
    <w:rPr>
      <w:rFonts w:asciiTheme="majorHAnsi" w:hAnsiTheme="majorHAnsi" w:eastAsiaTheme="majorEastAsia"/>
      <w:b/>
      <w:bCs/>
      <w:kern w:val="0"/>
      <w:sz w:val="26"/>
      <w:szCs w:val="2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10"/>
    <w:pPr>
      <w:widowControl/>
      <w:spacing w:before="240" w:after="60"/>
      <w:jc w:val="center"/>
      <w:outlineLvl w:val="0"/>
    </w:pPr>
    <w:rPr>
      <w:rFonts w:asciiTheme="majorHAnsi" w:hAnsiTheme="majorHAnsi" w:eastAsiaTheme="majorEastAsia"/>
      <w:b/>
      <w:bCs/>
      <w:kern w:val="28"/>
      <w:sz w:val="32"/>
      <w:szCs w:val="32"/>
    </w:rPr>
  </w:style>
  <w:style w:type="paragraph" w:styleId="4">
    <w:name w:val="annotation text"/>
    <w:basedOn w:val="1"/>
    <w:link w:val="21"/>
    <w:qFormat/>
    <w:uiPriority w:val="0"/>
    <w:pPr>
      <w:jc w:val="left"/>
    </w:pPr>
  </w:style>
  <w:style w:type="paragraph" w:styleId="5">
    <w:name w:val="Body Text"/>
    <w:basedOn w:val="1"/>
    <w:qFormat/>
    <w:uiPriority w:val="0"/>
    <w:pPr>
      <w:spacing w:after="120"/>
    </w:pPr>
  </w:style>
  <w:style w:type="paragraph" w:styleId="6">
    <w:name w:val="Body Text Indent"/>
    <w:basedOn w:val="1"/>
    <w:qFormat/>
    <w:uiPriority w:val="0"/>
    <w:pPr>
      <w:spacing w:after="120"/>
      <w:ind w:left="420" w:leftChars="200"/>
    </w:pPr>
    <w:rPr>
      <w:rFonts w:ascii="Calibri" w:hAnsi="Calibri"/>
    </w:rPr>
  </w:style>
  <w:style w:type="paragraph" w:styleId="7">
    <w:name w:val="Balloon Text"/>
    <w:basedOn w:val="1"/>
    <w:link w:val="19"/>
    <w:qFormat/>
    <w:uiPriority w:val="0"/>
    <w:rPr>
      <w:sz w:val="18"/>
      <w:szCs w:val="18"/>
    </w:rPr>
  </w:style>
  <w:style w:type="paragraph" w:styleId="8">
    <w:name w:val="footer"/>
    <w:basedOn w:val="1"/>
    <w:unhideWhenUsed/>
    <w:qFormat/>
    <w:uiPriority w:val="99"/>
    <w:pPr>
      <w:tabs>
        <w:tab w:val="center" w:pos="4153"/>
        <w:tab w:val="right" w:pos="8306"/>
      </w:tabs>
      <w:snapToGrid w:val="0"/>
      <w:jc w:val="left"/>
    </w:pPr>
    <w:rPr>
      <w:rFonts w:ascii="Calibri" w:hAnsi="Calibri"/>
      <w:sz w:val="18"/>
      <w:szCs w:val="18"/>
    </w:rPr>
  </w:style>
  <w:style w:type="paragraph" w:styleId="9">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0">
    <w:name w:val="annotation subject"/>
    <w:basedOn w:val="4"/>
    <w:next w:val="4"/>
    <w:link w:val="22"/>
    <w:qFormat/>
    <w:uiPriority w:val="0"/>
    <w:rPr>
      <w:b/>
      <w:bCs/>
    </w:rPr>
  </w:style>
  <w:style w:type="paragraph" w:styleId="11">
    <w:name w:val="Body Text First Indent"/>
    <w:basedOn w:val="5"/>
    <w:qFormat/>
    <w:uiPriority w:val="0"/>
    <w:pPr>
      <w:spacing w:after="0"/>
      <w:ind w:firstLine="200" w:firstLineChars="200"/>
    </w:pPr>
  </w:style>
  <w:style w:type="paragraph" w:styleId="12">
    <w:name w:val="Body Text First Indent 2"/>
    <w:basedOn w:val="6"/>
    <w:qFormat/>
    <w:uiPriority w:val="0"/>
    <w:pPr>
      <w:ind w:firstLine="420" w:firstLineChars="200"/>
    </w:pPr>
  </w:style>
  <w:style w:type="character" w:styleId="15">
    <w:name w:val="Strong"/>
    <w:basedOn w:val="14"/>
    <w:qFormat/>
    <w:uiPriority w:val="0"/>
    <w:rPr>
      <w:b/>
      <w:bCs/>
    </w:rPr>
  </w:style>
  <w:style w:type="character" w:styleId="16">
    <w:name w:val="annotation reference"/>
    <w:basedOn w:val="14"/>
    <w:qFormat/>
    <w:uiPriority w:val="0"/>
    <w:rPr>
      <w:sz w:val="21"/>
      <w:szCs w:val="21"/>
    </w:rPr>
  </w:style>
  <w:style w:type="character" w:customStyle="1" w:styleId="17">
    <w:name w:val="fontstyle01"/>
    <w:qFormat/>
    <w:uiPriority w:val="0"/>
    <w:rPr>
      <w:rFonts w:ascii="仿宋_GB2312" w:hAnsi="仿宋_GB2312" w:eastAsia="仿宋_GB2312" w:cs="仿宋_GB2312"/>
      <w:color w:val="000000"/>
      <w:sz w:val="32"/>
      <w:szCs w:val="32"/>
    </w:rPr>
  </w:style>
  <w:style w:type="paragraph" w:customStyle="1" w:styleId="18">
    <w:name w:val="闻政-正文段落文字"/>
    <w:basedOn w:val="1"/>
    <w:qFormat/>
    <w:uiPriority w:val="3"/>
    <w:pPr>
      <w:spacing w:line="500" w:lineRule="exact"/>
      <w:ind w:firstLine="200"/>
    </w:pPr>
    <w:rPr>
      <w:kern w:val="0"/>
      <w:szCs w:val="28"/>
    </w:rPr>
  </w:style>
  <w:style w:type="character" w:customStyle="1" w:styleId="19">
    <w:name w:val="批注框文本 字符"/>
    <w:basedOn w:val="14"/>
    <w:link w:val="7"/>
    <w:qFormat/>
    <w:uiPriority w:val="0"/>
    <w:rPr>
      <w:rFonts w:ascii="Times New Roman" w:hAnsi="Times New Roman" w:eastAsia="宋体" w:cs="Times New Roman"/>
      <w:kern w:val="2"/>
      <w:sz w:val="18"/>
      <w:szCs w:val="18"/>
    </w:rPr>
  </w:style>
  <w:style w:type="character" w:customStyle="1" w:styleId="20">
    <w:name w:val="页眉 字符"/>
    <w:basedOn w:val="14"/>
    <w:link w:val="9"/>
    <w:qFormat/>
    <w:uiPriority w:val="0"/>
    <w:rPr>
      <w:rFonts w:ascii="Times New Roman" w:hAnsi="Times New Roman" w:eastAsia="宋体" w:cs="Times New Roman"/>
      <w:kern w:val="2"/>
      <w:sz w:val="18"/>
      <w:szCs w:val="18"/>
    </w:rPr>
  </w:style>
  <w:style w:type="character" w:customStyle="1" w:styleId="21">
    <w:name w:val="批注文字 字符"/>
    <w:basedOn w:val="14"/>
    <w:link w:val="4"/>
    <w:qFormat/>
    <w:uiPriority w:val="0"/>
    <w:rPr>
      <w:rFonts w:ascii="Times New Roman" w:hAnsi="Times New Roman" w:eastAsia="宋体" w:cs="Times New Roman"/>
      <w:kern w:val="2"/>
      <w:sz w:val="21"/>
      <w:szCs w:val="24"/>
    </w:rPr>
  </w:style>
  <w:style w:type="character" w:customStyle="1" w:styleId="22">
    <w:name w:val="批注主题 字符"/>
    <w:basedOn w:val="21"/>
    <w:link w:val="10"/>
    <w:qFormat/>
    <w:uiPriority w:val="0"/>
    <w:rPr>
      <w:rFonts w:ascii="Times New Roman" w:hAnsi="Times New Roman" w:eastAsia="宋体" w:cs="Times New Roman"/>
      <w:b/>
      <w:bCs/>
      <w:kern w:val="2"/>
      <w:sz w:val="21"/>
      <w:szCs w:val="24"/>
    </w:rPr>
  </w:style>
  <w:style w:type="paragraph" w:customStyle="1" w:styleId="23">
    <w:name w:val="p3"/>
    <w:basedOn w:val="1"/>
    <w:qFormat/>
    <w:uiPriority w:val="0"/>
    <w:pPr>
      <w:spacing w:before="0" w:beforeAutospacing="0" w:after="0" w:afterAutospacing="0"/>
      <w:ind w:left="0" w:right="0"/>
      <w:jc w:val="left"/>
    </w:pPr>
    <w:rPr>
      <w:rFonts w:hint="default" w:ascii="Helvetica Neue" w:hAnsi="Helvetica Neue" w:eastAsia="Helvetica Neue" w:cs="Helvetica Neue"/>
      <w:kern w:val="0"/>
      <w:sz w:val="26"/>
      <w:szCs w:val="26"/>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10072</Words>
  <Characters>10479</Characters>
  <Lines>58</Lines>
  <Paragraphs>16</Paragraphs>
  <TotalTime>20</TotalTime>
  <ScaleCrop>false</ScaleCrop>
  <LinksUpToDate>false</LinksUpToDate>
  <CharactersWithSpaces>10727</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2023-03-08T21:13:00Z</dcterms:created>
  <dc:creator>审核人</dc:creator>
  <cp:lastModifiedBy>wlt</cp:lastModifiedBy>
  <dcterms:modified xsi:type="dcterms:W3CDTF">2024-01-09T12:29:52Z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0D6ADC951A5D4E83B8B96AEEE494D267_13</vt:lpwstr>
  </property>
</Properties>
</file>